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408A4" w:rsidRPr="007E73DC" w:rsidRDefault="008408A4">
      <w:pPr>
        <w:spacing w:line="276" w:lineRule="auto"/>
        <w:jc w:val="both"/>
        <w:rPr>
          <w:rFonts w:ascii="Verdana" w:hAnsi="Verdana"/>
          <w:b/>
          <w:bCs/>
          <w:sz w:val="20"/>
          <w:szCs w:val="20"/>
          <w:lang w:val="cs-CZ"/>
        </w:rPr>
      </w:pPr>
    </w:p>
    <w:p w:rsidR="00C43ECC" w:rsidRPr="007E73DC" w:rsidRDefault="00C43ECC" w:rsidP="00C43ECC">
      <w:pPr>
        <w:spacing w:line="276" w:lineRule="auto"/>
        <w:jc w:val="both"/>
        <w:rPr>
          <w:rFonts w:ascii="Verdana" w:hAnsi="Verdana"/>
          <w:b/>
          <w:bCs/>
          <w:sz w:val="20"/>
          <w:szCs w:val="20"/>
          <w:lang w:val="cs-CZ"/>
        </w:rPr>
      </w:pPr>
    </w:p>
    <w:p w:rsidR="00C43ECC" w:rsidRPr="007E73DC" w:rsidRDefault="00C43ECC" w:rsidP="00C43ECC">
      <w:pPr>
        <w:spacing w:line="276" w:lineRule="auto"/>
        <w:jc w:val="both"/>
        <w:outlineLvl w:val="0"/>
        <w:rPr>
          <w:rFonts w:ascii="Verdana" w:hAnsi="Verdana"/>
          <w:b/>
          <w:bCs/>
          <w:sz w:val="20"/>
          <w:szCs w:val="20"/>
          <w:lang w:val="cs-CZ"/>
        </w:rPr>
      </w:pPr>
      <w:r w:rsidRPr="007E73DC">
        <w:rPr>
          <w:rFonts w:ascii="Verdana" w:hAnsi="Verdana"/>
          <w:b/>
          <w:bCs/>
          <w:sz w:val="20"/>
          <w:szCs w:val="20"/>
          <w:lang w:val="cs-CZ"/>
        </w:rPr>
        <w:t>Tisková zpráva</w:t>
      </w:r>
    </w:p>
    <w:p w:rsidR="00C43ECC" w:rsidRPr="007E73DC" w:rsidRDefault="00C43ECC" w:rsidP="00C43ECC">
      <w:pPr>
        <w:spacing w:line="276" w:lineRule="auto"/>
        <w:jc w:val="both"/>
        <w:rPr>
          <w:rFonts w:ascii="Verdana" w:hAnsi="Verdana"/>
          <w:b/>
          <w:bCs/>
          <w:lang w:val="cs-CZ"/>
        </w:rPr>
      </w:pPr>
    </w:p>
    <w:p w:rsidR="00C43ECC" w:rsidRPr="007E73DC" w:rsidRDefault="00C43ECC" w:rsidP="00C43ECC">
      <w:pPr>
        <w:spacing w:line="276" w:lineRule="auto"/>
        <w:outlineLvl w:val="0"/>
        <w:rPr>
          <w:rFonts w:ascii="Verdana" w:hAnsi="Verdana"/>
          <w:b/>
          <w:bCs/>
          <w:sz w:val="20"/>
          <w:szCs w:val="20"/>
          <w:lang w:val="cs-CZ"/>
        </w:rPr>
      </w:pPr>
      <w:r w:rsidRPr="007E73DC">
        <w:rPr>
          <w:rFonts w:ascii="Verdana" w:hAnsi="Verdana"/>
          <w:b/>
          <w:bCs/>
          <w:sz w:val="20"/>
          <w:szCs w:val="20"/>
          <w:lang w:val="cs-CZ"/>
        </w:rPr>
        <w:t xml:space="preserve">Výsledky měření návštěvnosti internetu za </w:t>
      </w:r>
      <w:r w:rsidR="00B83703">
        <w:rPr>
          <w:rFonts w:ascii="Verdana" w:hAnsi="Verdana"/>
          <w:b/>
          <w:bCs/>
          <w:sz w:val="20"/>
          <w:szCs w:val="20"/>
          <w:lang w:val="cs-CZ"/>
        </w:rPr>
        <w:t>červenec</w:t>
      </w:r>
      <w:r w:rsidR="00F14D10" w:rsidRPr="007E73DC">
        <w:rPr>
          <w:rFonts w:ascii="Verdana" w:hAnsi="Verdana"/>
          <w:b/>
          <w:bCs/>
          <w:sz w:val="20"/>
          <w:szCs w:val="20"/>
          <w:lang w:val="cs-CZ"/>
        </w:rPr>
        <w:t xml:space="preserve"> </w:t>
      </w:r>
      <w:r w:rsidR="001307C6" w:rsidRPr="007E73DC">
        <w:rPr>
          <w:rFonts w:ascii="Verdana" w:hAnsi="Verdana"/>
          <w:b/>
          <w:bCs/>
          <w:sz w:val="20"/>
          <w:szCs w:val="20"/>
          <w:lang w:val="cs-CZ"/>
        </w:rPr>
        <w:t>2013</w:t>
      </w:r>
    </w:p>
    <w:p w:rsidR="00C43ECC" w:rsidRPr="007E73DC" w:rsidRDefault="00C43ECC" w:rsidP="00C43ECC">
      <w:pPr>
        <w:spacing w:line="276" w:lineRule="auto"/>
        <w:outlineLvl w:val="0"/>
        <w:rPr>
          <w:rFonts w:ascii="Verdana" w:hAnsi="Verdana"/>
          <w:b/>
          <w:bCs/>
          <w:sz w:val="28"/>
          <w:szCs w:val="28"/>
          <w:lang w:val="cs-CZ"/>
        </w:rPr>
      </w:pPr>
    </w:p>
    <w:p w:rsidR="00EC4EAB" w:rsidRPr="00233777" w:rsidRDefault="00B83703" w:rsidP="00EC4EAB">
      <w:pPr>
        <w:spacing w:line="276" w:lineRule="auto"/>
        <w:outlineLvl w:val="0"/>
        <w:rPr>
          <w:rFonts w:ascii="Verdana" w:hAnsi="Verdana"/>
          <w:b/>
          <w:bCs/>
          <w:sz w:val="28"/>
          <w:szCs w:val="28"/>
          <w:lang w:val="cs-CZ"/>
        </w:rPr>
      </w:pPr>
      <w:r>
        <w:rPr>
          <w:rFonts w:ascii="Verdana" w:hAnsi="Verdana"/>
          <w:b/>
          <w:bCs/>
          <w:sz w:val="28"/>
          <w:szCs w:val="28"/>
          <w:lang w:val="cs-CZ"/>
        </w:rPr>
        <w:t>V červenci</w:t>
      </w:r>
      <w:r w:rsidR="005719CD">
        <w:rPr>
          <w:rFonts w:ascii="Verdana" w:hAnsi="Verdana"/>
          <w:b/>
          <w:bCs/>
          <w:sz w:val="28"/>
          <w:szCs w:val="28"/>
          <w:lang w:val="cs-CZ"/>
        </w:rPr>
        <w:t xml:space="preserve"> se zvýšil zájem o weby z kategorie Cestování</w:t>
      </w:r>
    </w:p>
    <w:p w:rsidR="00C64517" w:rsidRPr="007E73DC" w:rsidRDefault="00C64517" w:rsidP="00C43ECC">
      <w:pPr>
        <w:spacing w:line="276" w:lineRule="auto"/>
        <w:rPr>
          <w:rFonts w:ascii="Verdana" w:hAnsi="Verdana"/>
          <w:b/>
          <w:bCs/>
          <w:sz w:val="20"/>
          <w:szCs w:val="20"/>
          <w:lang w:val="cs-CZ"/>
        </w:rPr>
      </w:pPr>
    </w:p>
    <w:p w:rsidR="00536F85" w:rsidRPr="00536F85" w:rsidRDefault="00536F85" w:rsidP="00536F85">
      <w:pPr>
        <w:spacing w:line="276" w:lineRule="auto"/>
        <w:outlineLvl w:val="0"/>
        <w:rPr>
          <w:rFonts w:ascii="Verdana" w:hAnsi="Verdana"/>
          <w:b/>
          <w:bCs/>
          <w:sz w:val="20"/>
          <w:szCs w:val="20"/>
          <w:lang w:val="cs-CZ"/>
        </w:rPr>
      </w:pPr>
      <w:r>
        <w:rPr>
          <w:rFonts w:ascii="Verdana" w:hAnsi="Verdana"/>
          <w:b/>
          <w:bCs/>
          <w:sz w:val="20"/>
          <w:szCs w:val="20"/>
          <w:lang w:val="cs-CZ"/>
        </w:rPr>
        <w:t>28</w:t>
      </w:r>
      <w:r w:rsidRPr="007E73DC">
        <w:rPr>
          <w:rFonts w:ascii="Verdana" w:hAnsi="Verdana"/>
          <w:b/>
          <w:bCs/>
          <w:sz w:val="20"/>
          <w:szCs w:val="20"/>
          <w:lang w:val="cs-CZ"/>
        </w:rPr>
        <w:t xml:space="preserve">. </w:t>
      </w:r>
      <w:r>
        <w:rPr>
          <w:rFonts w:ascii="Verdana" w:hAnsi="Verdana"/>
          <w:b/>
          <w:bCs/>
          <w:sz w:val="20"/>
          <w:szCs w:val="20"/>
          <w:lang w:val="cs-CZ"/>
        </w:rPr>
        <w:t>srpna</w:t>
      </w:r>
      <w:r w:rsidRPr="007E73DC">
        <w:rPr>
          <w:rFonts w:ascii="Verdana" w:hAnsi="Verdana"/>
          <w:b/>
          <w:bCs/>
          <w:sz w:val="20"/>
          <w:szCs w:val="20"/>
          <w:lang w:val="cs-CZ"/>
        </w:rPr>
        <w:t xml:space="preserve"> 2013, Praha </w:t>
      </w:r>
      <w:r w:rsidRPr="00536F85">
        <w:rPr>
          <w:rFonts w:ascii="Verdana" w:hAnsi="Verdana"/>
          <w:b/>
          <w:bCs/>
          <w:sz w:val="20"/>
          <w:szCs w:val="20"/>
          <w:lang w:val="cs-CZ"/>
        </w:rPr>
        <w:t xml:space="preserve">– V prvním prázdninovém měsíci rostl zájem českých internetových uživatelů o weby v kategorii Cestování, která zahrnuje například nabídky zájezdů a dovolených, informace o jednotlivých destinacích či zajímavé články pro cestovatele. Návštěvnost těchto webových stránek se v červnu zvýšila o více než 260 tisíc uživatelů a nyní dosahuje 2,4 milionu RU. </w:t>
      </w:r>
    </w:p>
    <w:p w:rsidR="00D37A0B" w:rsidRDefault="00D37A0B" w:rsidP="00C43ECC">
      <w:pPr>
        <w:spacing w:line="276" w:lineRule="auto"/>
        <w:outlineLvl w:val="0"/>
        <w:rPr>
          <w:rFonts w:ascii="Verdana" w:hAnsi="Verdana"/>
          <w:b/>
          <w:bCs/>
          <w:sz w:val="20"/>
          <w:szCs w:val="20"/>
          <w:lang w:val="cs-CZ"/>
        </w:rPr>
      </w:pPr>
    </w:p>
    <w:p w:rsidR="00C43ECC" w:rsidRPr="007E73DC" w:rsidRDefault="00D37A0B" w:rsidP="00C43ECC">
      <w:pPr>
        <w:spacing w:line="276" w:lineRule="auto"/>
        <w:outlineLvl w:val="0"/>
        <w:rPr>
          <w:rFonts w:ascii="Verdana" w:hAnsi="Verdana"/>
          <w:b/>
          <w:bCs/>
          <w:sz w:val="20"/>
          <w:szCs w:val="20"/>
          <w:lang w:val="cs-CZ"/>
        </w:rPr>
      </w:pPr>
      <w:r>
        <w:rPr>
          <w:rFonts w:ascii="Verdana" w:hAnsi="Verdana"/>
          <w:b/>
          <w:bCs/>
          <w:sz w:val="20"/>
          <w:szCs w:val="20"/>
          <w:lang w:val="cs-CZ"/>
        </w:rPr>
        <w:t>Hlav</w:t>
      </w:r>
      <w:r w:rsidR="00C43ECC" w:rsidRPr="007E73DC">
        <w:rPr>
          <w:rFonts w:ascii="Verdana" w:hAnsi="Verdana"/>
          <w:b/>
          <w:bCs/>
          <w:sz w:val="20"/>
          <w:szCs w:val="20"/>
          <w:lang w:val="cs-CZ"/>
        </w:rPr>
        <w:t>ní ukazatele návštěvnosti internetu</w:t>
      </w:r>
    </w:p>
    <w:p w:rsidR="008F5EC9" w:rsidRPr="007E73DC" w:rsidRDefault="008F5EC9" w:rsidP="00C43ECC">
      <w:pPr>
        <w:spacing w:line="276" w:lineRule="auto"/>
        <w:outlineLvl w:val="0"/>
        <w:rPr>
          <w:rFonts w:ascii="Verdana" w:hAnsi="Verdana"/>
          <w:b/>
          <w:bCs/>
          <w:sz w:val="20"/>
          <w:szCs w:val="20"/>
          <w:lang w:val="cs-CZ"/>
        </w:rPr>
      </w:pPr>
    </w:p>
    <w:p w:rsidR="00536F85" w:rsidRDefault="00536F85" w:rsidP="00536F85">
      <w:pPr>
        <w:spacing w:line="276" w:lineRule="auto"/>
        <w:outlineLvl w:val="0"/>
        <w:rPr>
          <w:rFonts w:ascii="Verdana" w:hAnsi="Verdana"/>
          <w:bCs/>
          <w:sz w:val="20"/>
          <w:szCs w:val="20"/>
          <w:lang w:val="cs-CZ"/>
        </w:rPr>
      </w:pPr>
      <w:r>
        <w:rPr>
          <w:rFonts w:ascii="Verdana" w:hAnsi="Verdana"/>
          <w:bCs/>
          <w:sz w:val="20"/>
          <w:szCs w:val="20"/>
          <w:lang w:val="cs-CZ"/>
        </w:rPr>
        <w:t>V červenci navštívilo webové stránky zapojené do NetMonitoru 6,1 milionu uživatelů, kteří na nich provedli 7,4 miliard</w:t>
      </w:r>
      <w:r w:rsidR="000973E0">
        <w:rPr>
          <w:rFonts w:ascii="Verdana" w:hAnsi="Verdana"/>
          <w:bCs/>
          <w:sz w:val="20"/>
          <w:szCs w:val="20"/>
          <w:lang w:val="cs-CZ"/>
        </w:rPr>
        <w:t>y</w:t>
      </w:r>
      <w:r>
        <w:rPr>
          <w:rFonts w:ascii="Verdana" w:hAnsi="Verdana"/>
          <w:bCs/>
          <w:sz w:val="20"/>
          <w:szCs w:val="20"/>
          <w:lang w:val="cs-CZ"/>
        </w:rPr>
        <w:t xml:space="preserve"> zobrazení. Čeští internetoví uživatelé provedli na webových stránkách měřených výzkumem více než 1,08 miliardy návštěv s průměrnou délkou přibližně osm a půl minuty. Průměrný uživatel strávil na webech měřených výzkumem přibližně 1 hodinu a 40 minut, celkem na internetu pak téměř 3 hodiny.</w:t>
      </w:r>
    </w:p>
    <w:p w:rsidR="00536F85" w:rsidRDefault="00536F85" w:rsidP="00C43ECC">
      <w:pPr>
        <w:spacing w:line="276" w:lineRule="auto"/>
        <w:outlineLvl w:val="0"/>
        <w:rPr>
          <w:rFonts w:ascii="Verdana" w:hAnsi="Verdana"/>
          <w:bCs/>
          <w:sz w:val="20"/>
          <w:szCs w:val="20"/>
          <w:lang w:val="cs-CZ"/>
        </w:rPr>
      </w:pPr>
    </w:p>
    <w:p w:rsidR="009477C2" w:rsidRPr="007E73DC" w:rsidRDefault="009477C2" w:rsidP="009477C2">
      <w:pPr>
        <w:spacing w:line="276" w:lineRule="auto"/>
        <w:outlineLvl w:val="0"/>
        <w:rPr>
          <w:rFonts w:ascii="Verdana" w:hAnsi="Verdana"/>
          <w:bCs/>
          <w:sz w:val="20"/>
          <w:szCs w:val="20"/>
          <w:lang w:val="cs-CZ"/>
        </w:rPr>
      </w:pPr>
      <w:r w:rsidRPr="007E73DC">
        <w:rPr>
          <w:rFonts w:ascii="Verdana" w:hAnsi="Verdana"/>
          <w:bCs/>
          <w:sz w:val="16"/>
          <w:szCs w:val="16"/>
          <w:lang w:val="cs-CZ"/>
        </w:rPr>
        <w:t>Tab.1. Návštěvnost internetu v ČR – meziměsíční srovnání nejdůležitějších výsledků</w:t>
      </w:r>
      <w:r w:rsidRPr="007E73DC">
        <w:rPr>
          <w:rFonts w:ascii="Verdana" w:hAnsi="Verdana"/>
          <w:bCs/>
          <w:sz w:val="20"/>
          <w:szCs w:val="20"/>
          <w:lang w:val="cs-CZ"/>
        </w:rPr>
        <w:t xml:space="preserve"> </w:t>
      </w:r>
    </w:p>
    <w:p w:rsidR="009477C2" w:rsidRPr="007E73DC" w:rsidRDefault="009477C2" w:rsidP="009477C2">
      <w:pPr>
        <w:jc w:val="both"/>
        <w:rPr>
          <w:rStyle w:val="hps"/>
          <w:rFonts w:ascii="Verdana" w:hAnsi="Verdana"/>
          <w:sz w:val="16"/>
          <w:szCs w:val="16"/>
          <w:lang w:val="cs-CZ"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0"/>
        <w:gridCol w:w="1698"/>
        <w:gridCol w:w="1560"/>
        <w:gridCol w:w="1559"/>
        <w:gridCol w:w="992"/>
      </w:tblGrid>
      <w:tr w:rsidR="009477C2" w:rsidRPr="007E73DC" w:rsidTr="00233777">
        <w:trPr>
          <w:trHeight w:val="315"/>
        </w:trPr>
        <w:tc>
          <w:tcPr>
            <w:tcW w:w="34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99CCFF"/>
            <w:vAlign w:val="bottom"/>
            <w:hideMark/>
          </w:tcPr>
          <w:p w:rsidR="009477C2" w:rsidRPr="007E73DC" w:rsidRDefault="009477C2" w:rsidP="00FE3F2C">
            <w:pPr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kern w:val="0"/>
                <w:sz w:val="22"/>
                <w:szCs w:val="22"/>
                <w:lang w:val="cs-CZ" w:eastAsia="cs-CZ" w:bidi="ar-SA"/>
              </w:rPr>
            </w:pPr>
            <w:r w:rsidRPr="007E73DC">
              <w:rPr>
                <w:rFonts w:ascii="Calibri" w:eastAsia="Times New Roman" w:hAnsi="Calibri" w:cs="Arial"/>
                <w:b/>
                <w:bCs/>
                <w:color w:val="000000"/>
                <w:kern w:val="0"/>
                <w:sz w:val="22"/>
                <w:szCs w:val="22"/>
                <w:lang w:val="cs-CZ" w:eastAsia="cs-CZ" w:bidi="ar-SA"/>
              </w:rPr>
              <w:t xml:space="preserve">Ukazatel </w:t>
            </w:r>
          </w:p>
        </w:tc>
        <w:tc>
          <w:tcPr>
            <w:tcW w:w="169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:rsidR="009477C2" w:rsidRPr="007E73DC" w:rsidRDefault="00B70765" w:rsidP="00FE3F2C">
            <w:pPr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kern w:val="0"/>
                <w:sz w:val="22"/>
                <w:szCs w:val="22"/>
                <w:lang w:val="cs-CZ" w:eastAsia="cs-CZ" w:bidi="ar-SA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kern w:val="0"/>
                <w:sz w:val="22"/>
                <w:szCs w:val="22"/>
                <w:lang w:val="cs-CZ" w:eastAsia="cs-CZ" w:bidi="ar-SA"/>
              </w:rPr>
              <w:t>červen</w:t>
            </w:r>
            <w:r w:rsidR="00DD4246" w:rsidRPr="007E73DC">
              <w:rPr>
                <w:rFonts w:ascii="Calibri" w:eastAsia="Times New Roman" w:hAnsi="Calibri" w:cs="Arial"/>
                <w:b/>
                <w:bCs/>
                <w:color w:val="000000"/>
                <w:kern w:val="0"/>
                <w:sz w:val="22"/>
                <w:szCs w:val="22"/>
                <w:lang w:val="cs-CZ" w:eastAsia="cs-CZ" w:bidi="ar-SA"/>
              </w:rPr>
              <w:t xml:space="preserve"> 2013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:rsidR="009477C2" w:rsidRPr="007E73DC" w:rsidRDefault="00B70765" w:rsidP="00FE3F2C">
            <w:pPr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kern w:val="0"/>
                <w:sz w:val="22"/>
                <w:szCs w:val="22"/>
                <w:lang w:val="cs-CZ" w:eastAsia="cs-CZ" w:bidi="ar-SA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kern w:val="0"/>
                <w:sz w:val="22"/>
                <w:szCs w:val="22"/>
                <w:lang w:val="cs-CZ" w:eastAsia="cs-CZ" w:bidi="ar-SA"/>
              </w:rPr>
              <w:t>červenec</w:t>
            </w:r>
            <w:r w:rsidR="00C36CF2" w:rsidRPr="007E73DC">
              <w:rPr>
                <w:rFonts w:ascii="Calibri" w:eastAsia="Times New Roman" w:hAnsi="Calibri" w:cs="Arial"/>
                <w:b/>
                <w:bCs/>
                <w:color w:val="000000"/>
                <w:kern w:val="0"/>
                <w:sz w:val="22"/>
                <w:szCs w:val="22"/>
                <w:lang w:val="cs-CZ" w:eastAsia="cs-CZ" w:bidi="ar-SA"/>
              </w:rPr>
              <w:t xml:space="preserve"> </w:t>
            </w:r>
            <w:r w:rsidR="009477C2" w:rsidRPr="007E73DC">
              <w:rPr>
                <w:rFonts w:ascii="Calibri" w:eastAsia="Times New Roman" w:hAnsi="Calibri" w:cs="Arial"/>
                <w:b/>
                <w:bCs/>
                <w:color w:val="000000"/>
                <w:kern w:val="0"/>
                <w:sz w:val="22"/>
                <w:szCs w:val="22"/>
                <w:lang w:val="cs-CZ" w:eastAsia="cs-CZ" w:bidi="ar-SA"/>
              </w:rPr>
              <w:t>2013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9CCFF"/>
            <w:noWrap/>
            <w:vAlign w:val="bottom"/>
            <w:hideMark/>
          </w:tcPr>
          <w:p w:rsidR="009477C2" w:rsidRPr="007E73DC" w:rsidRDefault="009477C2" w:rsidP="00FE3F2C">
            <w:pPr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kern w:val="0"/>
                <w:sz w:val="22"/>
                <w:szCs w:val="22"/>
                <w:lang w:val="cs-CZ" w:eastAsia="cs-CZ" w:bidi="ar-SA"/>
              </w:rPr>
            </w:pPr>
            <w:r w:rsidRPr="007E73DC">
              <w:rPr>
                <w:rFonts w:ascii="Calibri" w:eastAsia="Times New Roman" w:hAnsi="Calibri" w:cs="Arial"/>
                <w:b/>
                <w:bCs/>
                <w:color w:val="000000"/>
                <w:kern w:val="0"/>
                <w:sz w:val="22"/>
                <w:szCs w:val="22"/>
                <w:lang w:val="cs-CZ" w:eastAsia="cs-CZ" w:bidi="ar-SA"/>
              </w:rPr>
              <w:t>Změna</w:t>
            </w:r>
          </w:p>
        </w:tc>
      </w:tr>
      <w:tr w:rsidR="009477C2" w:rsidRPr="007E73DC" w:rsidTr="00233777">
        <w:trPr>
          <w:trHeight w:val="300"/>
        </w:trPr>
        <w:tc>
          <w:tcPr>
            <w:tcW w:w="34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477C2" w:rsidRPr="007E73DC" w:rsidRDefault="009477C2" w:rsidP="00FE3F2C">
            <w:pPr>
              <w:suppressAutoHyphens w:val="0"/>
              <w:rPr>
                <w:rFonts w:ascii="Calibri" w:eastAsia="Times New Roman" w:hAnsi="Calibri" w:cs="Arial"/>
                <w:b/>
                <w:bCs/>
                <w:color w:val="000000"/>
                <w:kern w:val="0"/>
                <w:sz w:val="22"/>
                <w:szCs w:val="22"/>
                <w:lang w:val="cs-CZ" w:eastAsia="cs-CZ" w:bidi="ar-SA"/>
              </w:rPr>
            </w:pPr>
          </w:p>
        </w:tc>
        <w:tc>
          <w:tcPr>
            <w:tcW w:w="169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477C2" w:rsidRPr="007E73DC" w:rsidRDefault="009477C2" w:rsidP="00FE3F2C">
            <w:pPr>
              <w:suppressAutoHyphens w:val="0"/>
              <w:rPr>
                <w:rFonts w:ascii="Calibri" w:eastAsia="Times New Roman" w:hAnsi="Calibri" w:cs="Arial"/>
                <w:b/>
                <w:bCs/>
                <w:color w:val="000000"/>
                <w:kern w:val="0"/>
                <w:sz w:val="22"/>
                <w:szCs w:val="22"/>
                <w:lang w:val="cs-CZ" w:eastAsia="cs-CZ" w:bidi="ar-SA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477C2" w:rsidRPr="007E73DC" w:rsidRDefault="009477C2" w:rsidP="00FE3F2C">
            <w:pPr>
              <w:suppressAutoHyphens w:val="0"/>
              <w:rPr>
                <w:rFonts w:ascii="Calibri" w:eastAsia="Times New Roman" w:hAnsi="Calibri" w:cs="Arial"/>
                <w:b/>
                <w:bCs/>
                <w:color w:val="000000"/>
                <w:kern w:val="0"/>
                <w:sz w:val="22"/>
                <w:szCs w:val="22"/>
                <w:lang w:val="cs-CZ" w:eastAsia="cs-CZ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:rsidR="009477C2" w:rsidRPr="007E73DC" w:rsidRDefault="009477C2" w:rsidP="00FE3F2C">
            <w:pPr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kern w:val="0"/>
                <w:sz w:val="22"/>
                <w:szCs w:val="22"/>
                <w:lang w:val="cs-CZ" w:eastAsia="cs-CZ" w:bidi="ar-SA"/>
              </w:rPr>
            </w:pPr>
            <w:r w:rsidRPr="007E73DC">
              <w:rPr>
                <w:rFonts w:ascii="Calibri" w:eastAsia="Times New Roman" w:hAnsi="Calibri" w:cs="Arial"/>
                <w:b/>
                <w:bCs/>
                <w:color w:val="000000"/>
                <w:kern w:val="0"/>
                <w:sz w:val="22"/>
                <w:szCs w:val="22"/>
                <w:lang w:val="cs-CZ" w:eastAsia="cs-CZ" w:bidi="ar-SA"/>
              </w:rPr>
              <w:t>Absolutní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:rsidR="009477C2" w:rsidRPr="007E73DC" w:rsidRDefault="009477C2" w:rsidP="00FE3F2C">
            <w:pPr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kern w:val="0"/>
                <w:sz w:val="22"/>
                <w:szCs w:val="22"/>
                <w:lang w:val="cs-CZ" w:eastAsia="cs-CZ" w:bidi="ar-SA"/>
              </w:rPr>
            </w:pPr>
            <w:r w:rsidRPr="007E73DC">
              <w:rPr>
                <w:rFonts w:ascii="Calibri" w:eastAsia="Times New Roman" w:hAnsi="Calibri" w:cs="Arial"/>
                <w:b/>
                <w:bCs/>
                <w:color w:val="000000"/>
                <w:kern w:val="0"/>
                <w:sz w:val="22"/>
                <w:szCs w:val="22"/>
                <w:lang w:val="cs-CZ" w:eastAsia="cs-CZ" w:bidi="ar-SA"/>
              </w:rPr>
              <w:t>Relativní</w:t>
            </w:r>
          </w:p>
        </w:tc>
      </w:tr>
      <w:tr w:rsidR="003E11A4" w:rsidRPr="007E73DC" w:rsidTr="00233777">
        <w:trPr>
          <w:trHeight w:val="30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1A4" w:rsidRPr="007E73DC" w:rsidRDefault="003E11A4">
            <w:pPr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  <w:r w:rsidRPr="007E73DC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>Reální uživatelé z ČR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11A4" w:rsidRPr="00BF0407" w:rsidRDefault="003E11A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BF0407">
              <w:rPr>
                <w:rFonts w:ascii="Calibri" w:hAnsi="Calibri"/>
                <w:sz w:val="22"/>
                <w:szCs w:val="22"/>
              </w:rPr>
              <w:t>6 087 373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11A4" w:rsidRPr="00BF0407" w:rsidRDefault="003E11A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BF0407">
              <w:rPr>
                <w:rFonts w:ascii="Calibri" w:hAnsi="Calibri"/>
                <w:sz w:val="22"/>
                <w:szCs w:val="22"/>
              </w:rPr>
              <w:t>6 142 250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1A4" w:rsidRPr="00BF0407" w:rsidRDefault="003E11A4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BF0407">
              <w:rPr>
                <w:rFonts w:ascii="Calibri" w:hAnsi="Calibri" w:cs="Arial"/>
                <w:sz w:val="22"/>
                <w:szCs w:val="22"/>
              </w:rPr>
              <w:t>54 877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1A4" w:rsidRPr="00BF0407" w:rsidRDefault="003E11A4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F0407">
              <w:rPr>
                <w:rFonts w:ascii="Calibri" w:hAnsi="Calibri" w:cs="Arial"/>
                <w:color w:val="000000"/>
                <w:sz w:val="22"/>
                <w:szCs w:val="22"/>
              </w:rPr>
              <w:t>0,90%</w:t>
            </w:r>
          </w:p>
        </w:tc>
      </w:tr>
      <w:tr w:rsidR="003E11A4" w:rsidRPr="007E73DC" w:rsidTr="00233777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1A4" w:rsidRPr="007E73DC" w:rsidRDefault="003E11A4">
            <w:pPr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  <w:r w:rsidRPr="007E73DC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>Počet zobrazených stránek z ČR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11A4" w:rsidRPr="00BF0407" w:rsidRDefault="003E11A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BF0407">
              <w:rPr>
                <w:rFonts w:ascii="Calibri" w:hAnsi="Calibri"/>
                <w:sz w:val="22"/>
                <w:szCs w:val="22"/>
              </w:rPr>
              <w:t>7 962 055 286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11A4" w:rsidRPr="00BF0407" w:rsidRDefault="003E11A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BF0407">
              <w:rPr>
                <w:rFonts w:ascii="Calibri" w:hAnsi="Calibri"/>
                <w:sz w:val="22"/>
                <w:szCs w:val="22"/>
              </w:rPr>
              <w:t>7 403 471 154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1A4" w:rsidRPr="00BF0407" w:rsidRDefault="003E11A4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BF0407">
              <w:rPr>
                <w:rFonts w:ascii="Calibri" w:hAnsi="Calibri" w:cs="Arial"/>
                <w:sz w:val="22"/>
                <w:szCs w:val="22"/>
              </w:rPr>
              <w:t>-558 584 132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1A4" w:rsidRPr="00BF0407" w:rsidRDefault="003E11A4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F0407">
              <w:rPr>
                <w:rFonts w:ascii="Calibri" w:hAnsi="Calibri" w:cs="Arial"/>
                <w:color w:val="000000"/>
                <w:sz w:val="22"/>
                <w:szCs w:val="22"/>
              </w:rPr>
              <w:t>-7,02%</w:t>
            </w:r>
          </w:p>
        </w:tc>
      </w:tr>
      <w:tr w:rsidR="003E11A4" w:rsidRPr="007E73DC" w:rsidTr="003E11A4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1A4" w:rsidRPr="007E73DC" w:rsidRDefault="003E11A4" w:rsidP="007E73DC">
            <w:pPr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  <w:r w:rsidRPr="007E73DC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>RU mobilního internetu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11A4" w:rsidRPr="00BF0407" w:rsidRDefault="003E11A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BF0407">
              <w:rPr>
                <w:rFonts w:ascii="Calibri" w:hAnsi="Calibri"/>
                <w:sz w:val="22"/>
                <w:szCs w:val="22"/>
              </w:rPr>
              <w:t>1 702 904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11A4" w:rsidRPr="00BF0407" w:rsidRDefault="003E11A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BF0407">
              <w:rPr>
                <w:rFonts w:ascii="Calibri" w:hAnsi="Calibri"/>
                <w:sz w:val="22"/>
                <w:szCs w:val="22"/>
              </w:rPr>
              <w:t>1 673 368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1A4" w:rsidRPr="00BF0407" w:rsidRDefault="003E11A4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BF0407">
              <w:rPr>
                <w:rFonts w:ascii="Calibri" w:hAnsi="Calibri" w:cs="Arial"/>
                <w:sz w:val="22"/>
                <w:szCs w:val="22"/>
              </w:rPr>
              <w:t>-29 536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1A4" w:rsidRPr="00BF0407" w:rsidRDefault="003E11A4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F0407">
              <w:rPr>
                <w:rFonts w:ascii="Calibri" w:hAnsi="Calibri" w:cs="Arial"/>
                <w:color w:val="000000"/>
                <w:sz w:val="22"/>
                <w:szCs w:val="22"/>
              </w:rPr>
              <w:t>-1,73%</w:t>
            </w:r>
          </w:p>
        </w:tc>
      </w:tr>
      <w:tr w:rsidR="003E11A4" w:rsidRPr="007E73DC" w:rsidTr="003E11A4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1A4" w:rsidRPr="007E73DC" w:rsidRDefault="003E11A4" w:rsidP="007E73DC">
            <w:pPr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  <w:r w:rsidRPr="007E73DC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>PV mobilního internetu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11A4" w:rsidRPr="00BF0407" w:rsidRDefault="003E11A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BF0407">
              <w:rPr>
                <w:rFonts w:ascii="Calibri" w:hAnsi="Calibri"/>
                <w:sz w:val="22"/>
                <w:szCs w:val="22"/>
              </w:rPr>
              <w:t>587 765 281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11A4" w:rsidRPr="00BF0407" w:rsidRDefault="003E11A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BF0407">
              <w:rPr>
                <w:rFonts w:ascii="Calibri" w:hAnsi="Calibri"/>
                <w:sz w:val="22"/>
                <w:szCs w:val="22"/>
              </w:rPr>
              <w:t>589 436 871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1A4" w:rsidRPr="00BF0407" w:rsidRDefault="003E11A4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BF0407">
              <w:rPr>
                <w:rFonts w:ascii="Calibri" w:hAnsi="Calibri" w:cs="Arial"/>
                <w:sz w:val="22"/>
                <w:szCs w:val="22"/>
              </w:rPr>
              <w:t>1 671 590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1A4" w:rsidRPr="00BF0407" w:rsidRDefault="003E11A4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F0407">
              <w:rPr>
                <w:rFonts w:ascii="Calibri" w:hAnsi="Calibri" w:cs="Arial"/>
                <w:color w:val="000000"/>
                <w:sz w:val="22"/>
                <w:szCs w:val="22"/>
              </w:rPr>
              <w:t>0,28%</w:t>
            </w:r>
          </w:p>
        </w:tc>
      </w:tr>
      <w:tr w:rsidR="003E11A4" w:rsidRPr="00477720" w:rsidTr="00233777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1A4" w:rsidRPr="00477720" w:rsidRDefault="003E11A4" w:rsidP="00477720">
            <w:pPr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  <w:r w:rsidRPr="00477720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>RU streaming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11A4" w:rsidRPr="00BF0407" w:rsidRDefault="003E11A4" w:rsidP="00BF040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BF0407">
              <w:rPr>
                <w:rFonts w:ascii="Calibri" w:hAnsi="Calibri"/>
                <w:sz w:val="22"/>
                <w:szCs w:val="22"/>
              </w:rPr>
              <w:t>2 773 363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11A4" w:rsidRPr="00BF0407" w:rsidRDefault="003E11A4" w:rsidP="00BF040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BF0407">
              <w:rPr>
                <w:rFonts w:ascii="Calibri" w:hAnsi="Calibri"/>
                <w:sz w:val="22"/>
                <w:szCs w:val="22"/>
              </w:rPr>
              <w:t>2 718 015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1A4" w:rsidRPr="00BF0407" w:rsidRDefault="003E11A4" w:rsidP="00BF0407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BF0407">
              <w:rPr>
                <w:rFonts w:ascii="Calibri" w:hAnsi="Calibri" w:cs="Arial"/>
                <w:sz w:val="22"/>
                <w:szCs w:val="22"/>
              </w:rPr>
              <w:t>-55 348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1A4" w:rsidRPr="00BF0407" w:rsidRDefault="003E11A4" w:rsidP="00BF0407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F0407">
              <w:rPr>
                <w:rFonts w:ascii="Calibri" w:hAnsi="Calibri" w:cs="Arial"/>
                <w:color w:val="000000"/>
                <w:sz w:val="22"/>
                <w:szCs w:val="22"/>
              </w:rPr>
              <w:t>-2,00%</w:t>
            </w:r>
          </w:p>
        </w:tc>
      </w:tr>
      <w:tr w:rsidR="003E11A4" w:rsidRPr="00477720" w:rsidTr="00233777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1A4" w:rsidRPr="00477720" w:rsidRDefault="003E11A4" w:rsidP="00477720">
            <w:pPr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  <w:r w:rsidRPr="00477720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>Zahájená přehrání (streaming)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11A4" w:rsidRPr="00BF0407" w:rsidRDefault="003E11A4" w:rsidP="00BF040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BF0407">
              <w:rPr>
                <w:rFonts w:ascii="Calibri" w:hAnsi="Calibri"/>
                <w:sz w:val="22"/>
                <w:szCs w:val="22"/>
              </w:rPr>
              <w:t>93 628 823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11A4" w:rsidRPr="00BF0407" w:rsidRDefault="003E11A4" w:rsidP="00BF040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BF0407">
              <w:rPr>
                <w:rFonts w:ascii="Calibri" w:hAnsi="Calibri"/>
                <w:sz w:val="22"/>
                <w:szCs w:val="22"/>
              </w:rPr>
              <w:t>89 668 921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1A4" w:rsidRPr="00BF0407" w:rsidRDefault="003E11A4" w:rsidP="00BF0407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BF0407">
              <w:rPr>
                <w:rFonts w:ascii="Calibri" w:hAnsi="Calibri" w:cs="Arial"/>
                <w:sz w:val="22"/>
                <w:szCs w:val="22"/>
              </w:rPr>
              <w:t>-3 959 902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1A4" w:rsidRPr="00BF0407" w:rsidRDefault="003E11A4" w:rsidP="00BF0407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F0407">
              <w:rPr>
                <w:rFonts w:ascii="Calibri" w:hAnsi="Calibri" w:cs="Arial"/>
                <w:color w:val="000000"/>
                <w:sz w:val="22"/>
                <w:szCs w:val="22"/>
              </w:rPr>
              <w:t>-4,23%</w:t>
            </w:r>
          </w:p>
        </w:tc>
      </w:tr>
    </w:tbl>
    <w:p w:rsidR="00477720" w:rsidRPr="007E73DC" w:rsidRDefault="00477720" w:rsidP="009477C2">
      <w:pPr>
        <w:jc w:val="both"/>
        <w:rPr>
          <w:rStyle w:val="hps"/>
          <w:rFonts w:ascii="Verdana" w:hAnsi="Verdana"/>
          <w:sz w:val="16"/>
          <w:szCs w:val="16"/>
          <w:lang w:val="cs-CZ"/>
        </w:rPr>
      </w:pPr>
    </w:p>
    <w:p w:rsidR="009477C2" w:rsidRPr="007E73DC" w:rsidRDefault="009477C2" w:rsidP="009477C2">
      <w:pPr>
        <w:jc w:val="both"/>
        <w:rPr>
          <w:rFonts w:ascii="Verdana" w:hAnsi="Verdana"/>
          <w:bCs/>
          <w:sz w:val="16"/>
          <w:szCs w:val="16"/>
          <w:lang w:val="cs-CZ"/>
        </w:rPr>
      </w:pPr>
      <w:r w:rsidRPr="007E73DC">
        <w:rPr>
          <w:rStyle w:val="hps"/>
          <w:rFonts w:ascii="Verdana" w:hAnsi="Verdana"/>
          <w:sz w:val="16"/>
          <w:szCs w:val="16"/>
          <w:lang w:val="cs-CZ"/>
        </w:rPr>
        <w:t>*</w:t>
      </w:r>
      <w:r w:rsidRPr="007E73DC">
        <w:rPr>
          <w:rFonts w:ascii="Verdana" w:hAnsi="Verdana"/>
          <w:sz w:val="16"/>
          <w:szCs w:val="16"/>
          <w:lang w:val="cs-CZ"/>
        </w:rPr>
        <w:t xml:space="preserve"> </w:t>
      </w:r>
      <w:r w:rsidRPr="007E73DC">
        <w:rPr>
          <w:rStyle w:val="hps"/>
          <w:rFonts w:ascii="Verdana" w:hAnsi="Verdana"/>
          <w:sz w:val="16"/>
          <w:szCs w:val="16"/>
          <w:lang w:val="cs-CZ"/>
        </w:rPr>
        <w:t>Reální uživatelé</w:t>
      </w:r>
      <w:r w:rsidRPr="007E73DC">
        <w:rPr>
          <w:rFonts w:ascii="Verdana" w:hAnsi="Verdana"/>
          <w:sz w:val="16"/>
          <w:szCs w:val="16"/>
          <w:lang w:val="cs-CZ"/>
        </w:rPr>
        <w:t xml:space="preserve"> </w:t>
      </w:r>
      <w:r w:rsidRPr="007E73DC">
        <w:rPr>
          <w:rStyle w:val="hps"/>
          <w:rFonts w:ascii="Verdana" w:hAnsi="Verdana"/>
          <w:sz w:val="16"/>
          <w:szCs w:val="16"/>
          <w:lang w:val="cs-CZ"/>
        </w:rPr>
        <w:t>z ČR -</w:t>
      </w:r>
      <w:r w:rsidRPr="007E73DC">
        <w:rPr>
          <w:rFonts w:ascii="Verdana" w:hAnsi="Verdana"/>
          <w:sz w:val="16"/>
          <w:szCs w:val="16"/>
          <w:lang w:val="cs-CZ"/>
        </w:rPr>
        <w:t xml:space="preserve"> </w:t>
      </w:r>
      <w:r w:rsidRPr="007E73DC">
        <w:rPr>
          <w:rStyle w:val="hps"/>
          <w:rFonts w:ascii="Verdana" w:hAnsi="Verdana"/>
          <w:sz w:val="16"/>
          <w:szCs w:val="16"/>
          <w:lang w:val="cs-CZ"/>
        </w:rPr>
        <w:t>počet</w:t>
      </w:r>
      <w:r w:rsidRPr="007E73DC">
        <w:rPr>
          <w:rFonts w:ascii="Verdana" w:hAnsi="Verdana"/>
          <w:sz w:val="16"/>
          <w:szCs w:val="16"/>
          <w:lang w:val="cs-CZ"/>
        </w:rPr>
        <w:t xml:space="preserve"> </w:t>
      </w:r>
      <w:r w:rsidRPr="007E73DC">
        <w:rPr>
          <w:rStyle w:val="hps"/>
          <w:rFonts w:ascii="Verdana" w:hAnsi="Verdana"/>
          <w:sz w:val="16"/>
          <w:szCs w:val="16"/>
          <w:lang w:val="cs-CZ"/>
        </w:rPr>
        <w:t>uživatelů internetu</w:t>
      </w:r>
      <w:r w:rsidRPr="007E73DC">
        <w:rPr>
          <w:rFonts w:ascii="Verdana" w:hAnsi="Verdana"/>
          <w:sz w:val="16"/>
          <w:szCs w:val="16"/>
          <w:lang w:val="cs-CZ"/>
        </w:rPr>
        <w:t xml:space="preserve"> </w:t>
      </w:r>
      <w:r w:rsidRPr="007E73DC">
        <w:rPr>
          <w:rStyle w:val="hps"/>
          <w:rFonts w:ascii="Verdana" w:hAnsi="Verdana"/>
          <w:sz w:val="16"/>
          <w:szCs w:val="16"/>
          <w:lang w:val="cs-CZ"/>
        </w:rPr>
        <w:t>z České republiky</w:t>
      </w:r>
      <w:r w:rsidRPr="007E73DC">
        <w:rPr>
          <w:rFonts w:ascii="Verdana" w:hAnsi="Verdana"/>
          <w:sz w:val="16"/>
          <w:szCs w:val="16"/>
          <w:lang w:val="cs-CZ"/>
        </w:rPr>
        <w:t xml:space="preserve">, </w:t>
      </w:r>
      <w:r w:rsidRPr="007E73DC">
        <w:rPr>
          <w:rStyle w:val="hps"/>
          <w:rFonts w:ascii="Verdana" w:hAnsi="Verdana"/>
          <w:sz w:val="16"/>
          <w:szCs w:val="16"/>
          <w:lang w:val="cs-CZ"/>
        </w:rPr>
        <w:t>kteří navštívili</w:t>
      </w:r>
      <w:r w:rsidRPr="007E73DC">
        <w:rPr>
          <w:rFonts w:ascii="Verdana" w:hAnsi="Verdana"/>
          <w:sz w:val="16"/>
          <w:szCs w:val="16"/>
          <w:lang w:val="cs-CZ"/>
        </w:rPr>
        <w:t xml:space="preserve"> </w:t>
      </w:r>
      <w:r w:rsidRPr="007E73DC">
        <w:rPr>
          <w:rStyle w:val="hps"/>
          <w:rFonts w:ascii="Verdana" w:hAnsi="Verdana"/>
          <w:sz w:val="16"/>
          <w:szCs w:val="16"/>
          <w:lang w:val="cs-CZ"/>
        </w:rPr>
        <w:t>alespoň jeden</w:t>
      </w:r>
      <w:r w:rsidRPr="007E73DC">
        <w:rPr>
          <w:rFonts w:ascii="Verdana" w:hAnsi="Verdana"/>
          <w:sz w:val="16"/>
          <w:szCs w:val="16"/>
          <w:lang w:val="cs-CZ"/>
        </w:rPr>
        <w:t xml:space="preserve"> </w:t>
      </w:r>
      <w:r w:rsidRPr="007E73DC">
        <w:rPr>
          <w:rStyle w:val="hps"/>
          <w:rFonts w:ascii="Verdana" w:hAnsi="Verdana"/>
          <w:sz w:val="16"/>
          <w:szCs w:val="16"/>
          <w:lang w:val="cs-CZ"/>
        </w:rPr>
        <w:t>z</w:t>
      </w:r>
      <w:r w:rsidRPr="007E73DC">
        <w:rPr>
          <w:rFonts w:ascii="Verdana" w:hAnsi="Verdana"/>
          <w:sz w:val="16"/>
          <w:szCs w:val="16"/>
          <w:lang w:val="cs-CZ"/>
        </w:rPr>
        <w:t xml:space="preserve"> </w:t>
      </w:r>
      <w:r w:rsidRPr="007E73DC">
        <w:rPr>
          <w:rStyle w:val="hps"/>
          <w:rFonts w:ascii="Verdana" w:hAnsi="Verdana"/>
          <w:sz w:val="16"/>
          <w:szCs w:val="16"/>
          <w:lang w:val="cs-CZ"/>
        </w:rPr>
        <w:t>webů</w:t>
      </w:r>
      <w:r w:rsidRPr="007E73DC">
        <w:rPr>
          <w:rFonts w:ascii="Verdana" w:hAnsi="Verdana"/>
          <w:sz w:val="16"/>
          <w:szCs w:val="16"/>
          <w:lang w:val="cs-CZ"/>
        </w:rPr>
        <w:t xml:space="preserve"> </w:t>
      </w:r>
      <w:r w:rsidRPr="007E73DC">
        <w:rPr>
          <w:rStyle w:val="hps"/>
          <w:rFonts w:ascii="Verdana" w:hAnsi="Verdana"/>
          <w:sz w:val="16"/>
          <w:szCs w:val="16"/>
          <w:lang w:val="cs-CZ"/>
        </w:rPr>
        <w:t>zapojených</w:t>
      </w:r>
      <w:r w:rsidRPr="007E73DC">
        <w:rPr>
          <w:rFonts w:ascii="Verdana" w:hAnsi="Verdana"/>
          <w:sz w:val="16"/>
          <w:szCs w:val="16"/>
          <w:lang w:val="cs-CZ"/>
        </w:rPr>
        <w:t xml:space="preserve"> </w:t>
      </w:r>
      <w:r w:rsidRPr="007E73DC">
        <w:rPr>
          <w:rStyle w:val="hps"/>
          <w:rFonts w:ascii="Verdana" w:hAnsi="Verdana"/>
          <w:sz w:val="16"/>
          <w:szCs w:val="16"/>
          <w:lang w:val="cs-CZ"/>
        </w:rPr>
        <w:t>do výzkumu</w:t>
      </w:r>
      <w:r w:rsidRPr="007E73DC">
        <w:rPr>
          <w:rFonts w:ascii="Verdana" w:hAnsi="Verdana"/>
          <w:sz w:val="16"/>
          <w:szCs w:val="16"/>
          <w:lang w:val="cs-CZ"/>
        </w:rPr>
        <w:t xml:space="preserve"> </w:t>
      </w:r>
      <w:r w:rsidRPr="007E73DC">
        <w:rPr>
          <w:rStyle w:val="hps"/>
          <w:rFonts w:ascii="Verdana" w:hAnsi="Verdana"/>
          <w:sz w:val="16"/>
          <w:szCs w:val="16"/>
          <w:lang w:val="cs-CZ"/>
        </w:rPr>
        <w:t>NetMonitor</w:t>
      </w:r>
      <w:r w:rsidRPr="007E73DC">
        <w:rPr>
          <w:rFonts w:ascii="Verdana" w:hAnsi="Verdana"/>
          <w:sz w:val="16"/>
          <w:szCs w:val="16"/>
          <w:lang w:val="cs-CZ"/>
        </w:rPr>
        <w:t xml:space="preserve"> </w:t>
      </w:r>
      <w:r w:rsidRPr="007E73DC">
        <w:rPr>
          <w:rStyle w:val="hps"/>
          <w:rFonts w:ascii="Verdana" w:hAnsi="Verdana"/>
          <w:sz w:val="16"/>
          <w:szCs w:val="16"/>
          <w:lang w:val="cs-CZ"/>
        </w:rPr>
        <w:t>během</w:t>
      </w:r>
      <w:r w:rsidRPr="007E73DC">
        <w:rPr>
          <w:rFonts w:ascii="Verdana" w:hAnsi="Verdana"/>
          <w:sz w:val="16"/>
          <w:szCs w:val="16"/>
          <w:lang w:val="cs-CZ"/>
        </w:rPr>
        <w:t xml:space="preserve"> </w:t>
      </w:r>
      <w:r w:rsidRPr="007E73DC">
        <w:rPr>
          <w:rStyle w:val="hps"/>
          <w:rFonts w:ascii="Verdana" w:hAnsi="Verdana"/>
          <w:sz w:val="16"/>
          <w:szCs w:val="16"/>
          <w:lang w:val="cs-CZ"/>
        </w:rPr>
        <w:t>daného měsíce</w:t>
      </w:r>
      <w:r w:rsidRPr="007E73DC">
        <w:rPr>
          <w:rFonts w:ascii="Verdana" w:hAnsi="Verdana"/>
          <w:sz w:val="16"/>
          <w:szCs w:val="16"/>
          <w:lang w:val="cs-CZ"/>
        </w:rPr>
        <w:t>.</w:t>
      </w:r>
    </w:p>
    <w:p w:rsidR="009477C2" w:rsidRPr="007E73DC" w:rsidRDefault="009477C2" w:rsidP="009477C2">
      <w:pPr>
        <w:jc w:val="both"/>
        <w:rPr>
          <w:rFonts w:ascii="Verdana" w:hAnsi="Verdana"/>
          <w:bCs/>
          <w:sz w:val="16"/>
          <w:szCs w:val="16"/>
          <w:lang w:val="cs-CZ"/>
        </w:rPr>
      </w:pPr>
    </w:p>
    <w:p w:rsidR="009477C2" w:rsidRPr="007E73DC" w:rsidRDefault="009477C2" w:rsidP="009477C2">
      <w:pPr>
        <w:jc w:val="both"/>
        <w:rPr>
          <w:rFonts w:ascii="Tahoma" w:hAnsi="Tahoma" w:cs="Tahoma"/>
          <w:lang w:val="cs-CZ"/>
        </w:rPr>
      </w:pPr>
      <w:r w:rsidRPr="007E73DC">
        <w:rPr>
          <w:rFonts w:ascii="Verdana" w:hAnsi="Verdana"/>
          <w:bCs/>
          <w:sz w:val="16"/>
          <w:szCs w:val="16"/>
          <w:lang w:val="cs-CZ"/>
        </w:rPr>
        <w:t xml:space="preserve">Zdroj: </w:t>
      </w:r>
      <w:r w:rsidRPr="007E73DC">
        <w:rPr>
          <w:rFonts w:ascii="Verdana" w:hAnsi="Verdana"/>
          <w:sz w:val="16"/>
          <w:szCs w:val="16"/>
          <w:lang w:val="cs-CZ"/>
        </w:rPr>
        <w:t>NetMonitor,</w:t>
      </w:r>
      <w:r w:rsidR="00C36CF2" w:rsidRPr="007E73DC">
        <w:rPr>
          <w:rFonts w:ascii="Verdana" w:hAnsi="Verdana"/>
          <w:sz w:val="16"/>
          <w:szCs w:val="16"/>
          <w:lang w:val="cs-CZ"/>
        </w:rPr>
        <w:t xml:space="preserve"> </w:t>
      </w:r>
      <w:r w:rsidR="00A73D2A">
        <w:rPr>
          <w:rFonts w:ascii="Verdana" w:hAnsi="Verdana"/>
          <w:sz w:val="16"/>
          <w:szCs w:val="16"/>
          <w:lang w:val="cs-CZ"/>
        </w:rPr>
        <w:t>červen a červenec</w:t>
      </w:r>
      <w:r w:rsidR="00233777">
        <w:rPr>
          <w:rFonts w:ascii="Verdana" w:hAnsi="Verdana"/>
          <w:sz w:val="16"/>
          <w:szCs w:val="16"/>
          <w:lang w:val="cs-CZ"/>
        </w:rPr>
        <w:t xml:space="preserve"> </w:t>
      </w:r>
      <w:r w:rsidR="00C36CF2" w:rsidRPr="007E73DC">
        <w:rPr>
          <w:rFonts w:ascii="Verdana" w:hAnsi="Verdana"/>
          <w:sz w:val="16"/>
          <w:szCs w:val="16"/>
          <w:lang w:val="cs-CZ"/>
        </w:rPr>
        <w:t>2013</w:t>
      </w:r>
      <w:r w:rsidRPr="007E73DC">
        <w:rPr>
          <w:lang w:val="cs-CZ"/>
        </w:rPr>
        <w:t>.</w:t>
      </w:r>
    </w:p>
    <w:p w:rsidR="00C43ECC" w:rsidRPr="007E73DC" w:rsidRDefault="00C43ECC" w:rsidP="00C43ECC">
      <w:pPr>
        <w:spacing w:line="276" w:lineRule="auto"/>
        <w:rPr>
          <w:rFonts w:ascii="Verdana" w:hAnsi="Verdana"/>
          <w:b/>
          <w:bCs/>
          <w:sz w:val="20"/>
          <w:szCs w:val="20"/>
          <w:lang w:val="cs-CZ"/>
        </w:rPr>
      </w:pPr>
    </w:p>
    <w:p w:rsidR="00C43ECC" w:rsidRDefault="009477C2" w:rsidP="00C43ECC">
      <w:pPr>
        <w:spacing w:line="276" w:lineRule="auto"/>
        <w:outlineLvl w:val="0"/>
        <w:rPr>
          <w:rFonts w:ascii="Verdana" w:hAnsi="Verdana"/>
          <w:b/>
          <w:sz w:val="20"/>
          <w:szCs w:val="20"/>
          <w:lang w:val="cs-CZ"/>
        </w:rPr>
      </w:pPr>
      <w:r w:rsidRPr="007E73DC">
        <w:rPr>
          <w:rFonts w:ascii="Verdana" w:hAnsi="Verdana"/>
          <w:b/>
          <w:sz w:val="20"/>
          <w:szCs w:val="20"/>
          <w:lang w:val="cs-CZ"/>
        </w:rPr>
        <w:t>Ná</w:t>
      </w:r>
      <w:r w:rsidR="009913CB" w:rsidRPr="007E73DC">
        <w:rPr>
          <w:rFonts w:ascii="Verdana" w:hAnsi="Verdana"/>
          <w:b/>
          <w:sz w:val="20"/>
          <w:szCs w:val="20"/>
          <w:lang w:val="cs-CZ"/>
        </w:rPr>
        <w:t xml:space="preserve">vštěvnost </w:t>
      </w:r>
      <w:r w:rsidR="000B3D03">
        <w:rPr>
          <w:rFonts w:ascii="Verdana" w:hAnsi="Verdana"/>
          <w:b/>
          <w:sz w:val="20"/>
          <w:szCs w:val="20"/>
          <w:lang w:val="cs-CZ"/>
        </w:rPr>
        <w:t xml:space="preserve">mobilního internetu a </w:t>
      </w:r>
      <w:r w:rsidR="009913CB" w:rsidRPr="007E73DC">
        <w:rPr>
          <w:rFonts w:ascii="Verdana" w:hAnsi="Verdana"/>
          <w:b/>
          <w:sz w:val="20"/>
          <w:szCs w:val="20"/>
          <w:lang w:val="cs-CZ"/>
        </w:rPr>
        <w:t>streamovaného obsahu</w:t>
      </w:r>
    </w:p>
    <w:p w:rsidR="006343F4" w:rsidRDefault="006343F4" w:rsidP="00C43ECC">
      <w:pPr>
        <w:spacing w:line="276" w:lineRule="auto"/>
        <w:outlineLvl w:val="0"/>
        <w:rPr>
          <w:rFonts w:ascii="Verdana" w:hAnsi="Verdana"/>
          <w:b/>
          <w:sz w:val="20"/>
          <w:szCs w:val="20"/>
          <w:lang w:val="cs-CZ"/>
        </w:rPr>
      </w:pPr>
    </w:p>
    <w:p w:rsidR="00536F85" w:rsidRDefault="00BD6C61" w:rsidP="00536F85">
      <w:pPr>
        <w:spacing w:line="276" w:lineRule="auto"/>
        <w:rPr>
          <w:rFonts w:ascii="Verdana" w:hAnsi="Verdana"/>
          <w:bCs/>
          <w:sz w:val="20"/>
          <w:szCs w:val="20"/>
          <w:lang w:val="cs-CZ"/>
        </w:rPr>
      </w:pPr>
      <w:r>
        <w:rPr>
          <w:rFonts w:ascii="Verdana" w:hAnsi="Verdana"/>
          <w:bCs/>
          <w:sz w:val="20"/>
          <w:szCs w:val="20"/>
          <w:lang w:val="cs-CZ"/>
        </w:rPr>
        <w:t>Mobiliní w</w:t>
      </w:r>
      <w:r w:rsidR="00536F85">
        <w:rPr>
          <w:rFonts w:ascii="Verdana" w:hAnsi="Verdana"/>
          <w:bCs/>
          <w:sz w:val="20"/>
          <w:szCs w:val="20"/>
          <w:lang w:val="cs-CZ"/>
        </w:rPr>
        <w:t xml:space="preserve">ebové stránky zapojené do výzkumu navštívilo z mobilních telefonů a tabletů v červenci 1,67 milionu reálných uživatelů z ČR, kteří na nich provedli téměř 590 milionů zobrazení stránek. Čeští internetoví uživatelé nejčastěji navštěvují horizontální a zpravodajské portály, nejvíce času tráví na horizontálních portálech a komunitních serverech. Streamovaný obsah sledovalo v červenci 2,7 milionu uživatelů z ČR, kteří na měřených webech provedli téměř 90 milionů zahájených přehrání. Videa na měřených webových stránkách sledovalo v průměru 475 tisíc uživatelů denně. </w:t>
      </w:r>
    </w:p>
    <w:p w:rsidR="00C43ECC" w:rsidRDefault="00A73D2A" w:rsidP="00C43ECC">
      <w:pPr>
        <w:spacing w:line="276" w:lineRule="auto"/>
        <w:rPr>
          <w:rFonts w:ascii="Verdana" w:hAnsi="Verdana"/>
          <w:bCs/>
          <w:sz w:val="20"/>
          <w:szCs w:val="20"/>
          <w:lang w:val="cs-CZ"/>
        </w:rPr>
      </w:pPr>
      <w:r>
        <w:rPr>
          <w:rFonts w:ascii="Verdana" w:hAnsi="Verdana"/>
          <w:bCs/>
          <w:sz w:val="20"/>
          <w:szCs w:val="20"/>
          <w:lang w:val="cs-CZ"/>
        </w:rPr>
        <w:t xml:space="preserve">   </w:t>
      </w:r>
    </w:p>
    <w:p w:rsidR="006459FB" w:rsidRPr="00865371" w:rsidRDefault="00536F85" w:rsidP="00C43ECC">
      <w:pPr>
        <w:jc w:val="both"/>
        <w:outlineLvl w:val="0"/>
        <w:rPr>
          <w:rFonts w:ascii="Verdana" w:hAnsi="Verdana"/>
          <w:b/>
          <w:bCs/>
          <w:sz w:val="20"/>
          <w:szCs w:val="20"/>
          <w:lang w:val="cs-CZ"/>
        </w:rPr>
      </w:pPr>
      <w:r>
        <w:rPr>
          <w:rFonts w:ascii="Verdana" w:hAnsi="Verdana"/>
          <w:b/>
          <w:bCs/>
          <w:sz w:val="20"/>
          <w:szCs w:val="20"/>
          <w:lang w:val="cs-CZ"/>
        </w:rPr>
        <w:lastRenderedPageBreak/>
        <w:br/>
      </w:r>
      <w:r>
        <w:rPr>
          <w:rFonts w:ascii="Verdana" w:hAnsi="Verdana"/>
          <w:b/>
          <w:bCs/>
          <w:sz w:val="20"/>
          <w:szCs w:val="20"/>
          <w:lang w:val="cs-CZ"/>
        </w:rPr>
        <w:br/>
      </w:r>
      <w:r w:rsidR="006343F4" w:rsidRPr="00865371">
        <w:rPr>
          <w:rFonts w:ascii="Verdana" w:hAnsi="Verdana"/>
          <w:b/>
          <w:bCs/>
          <w:sz w:val="20"/>
          <w:szCs w:val="20"/>
          <w:lang w:val="cs-CZ"/>
        </w:rPr>
        <w:t>Návštěvnost jednotlivých kategorií</w:t>
      </w:r>
    </w:p>
    <w:p w:rsidR="006343F4" w:rsidRDefault="006343F4" w:rsidP="00C43ECC">
      <w:pPr>
        <w:jc w:val="both"/>
        <w:outlineLvl w:val="0"/>
        <w:rPr>
          <w:rFonts w:ascii="Verdana" w:hAnsi="Verdana"/>
          <w:bCs/>
          <w:sz w:val="20"/>
          <w:szCs w:val="20"/>
          <w:lang w:val="cs-CZ"/>
        </w:rPr>
      </w:pPr>
    </w:p>
    <w:p w:rsidR="00536F85" w:rsidRDefault="00536F85" w:rsidP="00536F85">
      <w:pPr>
        <w:spacing w:line="276" w:lineRule="auto"/>
        <w:rPr>
          <w:rFonts w:ascii="Verdana" w:hAnsi="Verdana"/>
          <w:bCs/>
          <w:sz w:val="20"/>
          <w:szCs w:val="20"/>
          <w:lang w:val="cs-CZ"/>
        </w:rPr>
      </w:pPr>
      <w:r>
        <w:rPr>
          <w:rFonts w:ascii="Verdana" w:hAnsi="Verdana"/>
          <w:bCs/>
          <w:sz w:val="20"/>
          <w:szCs w:val="20"/>
          <w:lang w:val="cs-CZ"/>
        </w:rPr>
        <w:t xml:space="preserve">Období prázdnin a dovolených lákalo uživatele k návštěvě webových stránek v kategorii Cestování, která zaznamenala meziměsíční nárůst počtu uživatelů o 12 %. Rostla také návštěvnost webových stránek v kategorii Reality a bydlení, která zahrnuje webové stránky s nabídkou realit či články o bydlení (nárůst počtu RU o necelých 10 %).   </w:t>
      </w:r>
    </w:p>
    <w:p w:rsidR="006343F4" w:rsidRDefault="00865371" w:rsidP="004A0487">
      <w:pPr>
        <w:outlineLvl w:val="0"/>
        <w:rPr>
          <w:rFonts w:ascii="Verdana" w:hAnsi="Verdana"/>
          <w:bCs/>
          <w:sz w:val="20"/>
          <w:szCs w:val="20"/>
          <w:lang w:val="cs-CZ"/>
        </w:rPr>
      </w:pPr>
      <w:r>
        <w:rPr>
          <w:rFonts w:ascii="Verdana" w:hAnsi="Verdana"/>
          <w:bCs/>
          <w:sz w:val="20"/>
          <w:szCs w:val="20"/>
          <w:lang w:val="cs-CZ"/>
        </w:rPr>
        <w:t xml:space="preserve"> </w:t>
      </w:r>
      <w:r w:rsidR="006343F4">
        <w:rPr>
          <w:rFonts w:ascii="Verdana" w:hAnsi="Verdana"/>
          <w:bCs/>
          <w:sz w:val="20"/>
          <w:szCs w:val="20"/>
          <w:lang w:val="cs-CZ"/>
        </w:rPr>
        <w:t xml:space="preserve"> </w:t>
      </w:r>
    </w:p>
    <w:p w:rsidR="00C43ECC" w:rsidRPr="007E73DC" w:rsidRDefault="00C43ECC" w:rsidP="00C43ECC">
      <w:pPr>
        <w:jc w:val="both"/>
        <w:outlineLvl w:val="0"/>
        <w:rPr>
          <w:rFonts w:ascii="Verdana" w:hAnsi="Verdana"/>
          <w:b/>
          <w:bCs/>
          <w:color w:val="800000"/>
          <w:sz w:val="16"/>
          <w:szCs w:val="16"/>
          <w:lang w:val="cs-CZ"/>
        </w:rPr>
      </w:pPr>
      <w:r w:rsidRPr="007E73DC">
        <w:rPr>
          <w:rFonts w:ascii="Verdana" w:hAnsi="Verdana"/>
          <w:b/>
          <w:bCs/>
          <w:color w:val="800000"/>
          <w:sz w:val="16"/>
          <w:szCs w:val="16"/>
          <w:lang w:val="cs-CZ"/>
        </w:rPr>
        <w:t>O výzkumu NetMonitor</w:t>
      </w:r>
    </w:p>
    <w:p w:rsidR="00C43ECC" w:rsidRPr="007E73DC" w:rsidRDefault="00C43ECC" w:rsidP="00C43ECC">
      <w:pPr>
        <w:jc w:val="both"/>
        <w:rPr>
          <w:rFonts w:ascii="Verdana" w:hAnsi="Verdana"/>
          <w:b/>
          <w:bCs/>
          <w:color w:val="800000"/>
          <w:sz w:val="16"/>
          <w:szCs w:val="16"/>
          <w:lang w:val="cs-CZ"/>
        </w:rPr>
      </w:pPr>
    </w:p>
    <w:p w:rsidR="00C43ECC" w:rsidRPr="007E73DC" w:rsidRDefault="00C43ECC" w:rsidP="00C43ECC">
      <w:pPr>
        <w:jc w:val="both"/>
        <w:rPr>
          <w:rFonts w:ascii="Verdana" w:hAnsi="Verdana"/>
          <w:sz w:val="16"/>
          <w:szCs w:val="16"/>
          <w:lang w:val="cs-CZ"/>
        </w:rPr>
      </w:pPr>
      <w:r w:rsidRPr="007E73DC">
        <w:rPr>
          <w:rFonts w:ascii="Verdana" w:hAnsi="Verdana"/>
          <w:bCs/>
          <w:sz w:val="16"/>
          <w:szCs w:val="16"/>
          <w:lang w:val="cs-CZ"/>
        </w:rPr>
        <w:t xml:space="preserve">NetMonitor </w:t>
      </w:r>
      <w:r w:rsidRPr="007E73DC">
        <w:rPr>
          <w:rFonts w:ascii="Verdana" w:hAnsi="Verdana"/>
          <w:sz w:val="16"/>
          <w:szCs w:val="16"/>
          <w:lang w:val="cs-CZ"/>
        </w:rPr>
        <w:t xml:space="preserve">je výzkumný projekt, jehož cílem je poskytnout informace o návštěvnosti webových stránek a sociodemografickém profilu uživatelů internetu v České republice. Zadavatelem projektu NetMonitor je SPIR a </w:t>
      </w:r>
    </w:p>
    <w:p w:rsidR="00C43ECC" w:rsidRPr="007E73DC" w:rsidRDefault="00C43ECC" w:rsidP="00C43ECC">
      <w:pPr>
        <w:jc w:val="both"/>
        <w:rPr>
          <w:rFonts w:ascii="Verdana" w:hAnsi="Verdana"/>
          <w:sz w:val="16"/>
          <w:szCs w:val="16"/>
          <w:lang w:val="cs-CZ"/>
        </w:rPr>
      </w:pPr>
      <w:r w:rsidRPr="007E73DC">
        <w:rPr>
          <w:rFonts w:ascii="Verdana" w:hAnsi="Verdana"/>
          <w:sz w:val="16"/>
          <w:szCs w:val="16"/>
          <w:lang w:val="cs-CZ"/>
        </w:rPr>
        <w:t>dodavatelem výzkumu je mezinárodní společnost Gemius ve spolupráci s agenturou MEDIARESEA</w:t>
      </w:r>
      <w:bookmarkStart w:id="0" w:name="_GoBack"/>
      <w:bookmarkEnd w:id="0"/>
      <w:r w:rsidRPr="007E73DC">
        <w:rPr>
          <w:rFonts w:ascii="Verdana" w:hAnsi="Verdana"/>
          <w:sz w:val="16"/>
          <w:szCs w:val="16"/>
          <w:lang w:val="cs-CZ"/>
        </w:rPr>
        <w:t xml:space="preserve">RCH, a. s. NetMonitor je česká varianta výzkumu gemiusAudience, jednoho z klíčových výzkumů agentury Gemius. Výzkum probíhá v současné době na 25-ti trzích regionu střední a východní Evropy, severní Afriky a Blízkého východu a je hlavním a nejdůvěryhodnějším zdrojem informací o návštěvnosti internetu v těchto státech. Hlavní výhodou </w:t>
      </w:r>
      <w:r w:rsidRPr="007E73DC">
        <w:rPr>
          <w:rFonts w:ascii="Verdana" w:hAnsi="Verdana" w:cs="Arial"/>
          <w:sz w:val="16"/>
          <w:szCs w:val="16"/>
          <w:shd w:val="clear" w:color="auto" w:fill="FFFFFF"/>
          <w:lang w:val="cs-CZ"/>
        </w:rPr>
        <w:t>studie gemiusAudience</w:t>
      </w:r>
      <w:r w:rsidRPr="007E73DC">
        <w:rPr>
          <w:rStyle w:val="apple-converted-space"/>
          <w:rFonts w:ascii="Verdana" w:hAnsi="Verdana" w:cs="Arial"/>
          <w:sz w:val="16"/>
          <w:szCs w:val="16"/>
          <w:shd w:val="clear" w:color="auto" w:fill="FFFFFF"/>
          <w:lang w:val="cs-CZ"/>
        </w:rPr>
        <w:t> </w:t>
      </w:r>
      <w:r w:rsidRPr="007E73DC">
        <w:rPr>
          <w:rFonts w:ascii="Verdana" w:hAnsi="Verdana" w:cs="Arial"/>
          <w:sz w:val="16"/>
          <w:szCs w:val="16"/>
          <w:shd w:val="clear" w:color="auto" w:fill="FFFFFF"/>
          <w:lang w:val="cs-CZ"/>
        </w:rPr>
        <w:t xml:space="preserve">je ukazatel Real Users, který poskytuje spolehlivé výsledky týkající se počtu reálných uživatelů internetu na daném trhu. K tomu, aby výzkum poskytoval co nejpřesnější údaje, </w:t>
      </w:r>
      <w:r w:rsidRPr="007E73DC">
        <w:rPr>
          <w:rFonts w:ascii="Verdana" w:hAnsi="Verdana"/>
          <w:sz w:val="16"/>
          <w:szCs w:val="16"/>
          <w:lang w:val="cs-CZ"/>
        </w:rPr>
        <w:t>kombinuje site-centric a user-centric data s offline socio-demografickou studií. Výsledky výzkumu jsou nepostradatelným nástrojem pro média, vydavatele, zadavatele reklamy a analytiky.</w:t>
      </w:r>
    </w:p>
    <w:p w:rsidR="00C43ECC" w:rsidRPr="007E73DC" w:rsidRDefault="00C43ECC" w:rsidP="00C43ECC">
      <w:pPr>
        <w:jc w:val="both"/>
        <w:rPr>
          <w:rFonts w:ascii="Verdana" w:hAnsi="Verdana"/>
          <w:b/>
          <w:bCs/>
          <w:color w:val="800000"/>
          <w:sz w:val="16"/>
          <w:szCs w:val="16"/>
          <w:lang w:val="cs-CZ"/>
        </w:rPr>
      </w:pPr>
    </w:p>
    <w:p w:rsidR="00C43ECC" w:rsidRPr="007E73DC" w:rsidRDefault="00C43ECC" w:rsidP="00C43ECC">
      <w:pPr>
        <w:jc w:val="both"/>
        <w:outlineLvl w:val="0"/>
        <w:rPr>
          <w:rFonts w:ascii="Verdana" w:hAnsi="Verdana"/>
          <w:b/>
          <w:bCs/>
          <w:color w:val="800000"/>
          <w:sz w:val="16"/>
          <w:szCs w:val="16"/>
          <w:lang w:val="cs-CZ"/>
        </w:rPr>
      </w:pPr>
      <w:r w:rsidRPr="007E73DC">
        <w:rPr>
          <w:rFonts w:ascii="Verdana" w:hAnsi="Verdana"/>
          <w:b/>
          <w:bCs/>
          <w:color w:val="800000"/>
          <w:sz w:val="16"/>
          <w:szCs w:val="16"/>
          <w:lang w:val="cs-CZ"/>
        </w:rPr>
        <w:t xml:space="preserve">O Sdružení pro internetovou reklamu </w:t>
      </w:r>
    </w:p>
    <w:p w:rsidR="00C43ECC" w:rsidRPr="007E73DC" w:rsidRDefault="00C43ECC" w:rsidP="00C43ECC">
      <w:pPr>
        <w:jc w:val="both"/>
        <w:rPr>
          <w:rFonts w:ascii="Verdana" w:hAnsi="Verdana"/>
          <w:b/>
          <w:bCs/>
          <w:color w:val="800000"/>
          <w:sz w:val="16"/>
          <w:szCs w:val="16"/>
          <w:lang w:val="cs-CZ"/>
        </w:rPr>
      </w:pPr>
    </w:p>
    <w:p w:rsidR="00C43ECC" w:rsidRPr="007E73DC" w:rsidRDefault="00C43ECC" w:rsidP="00C43ECC">
      <w:pPr>
        <w:jc w:val="both"/>
        <w:rPr>
          <w:rFonts w:ascii="Verdana" w:hAnsi="Verdana"/>
          <w:b/>
          <w:bCs/>
          <w:color w:val="800000"/>
          <w:sz w:val="16"/>
          <w:szCs w:val="16"/>
          <w:lang w:val="cs-CZ"/>
        </w:rPr>
      </w:pPr>
      <w:r w:rsidRPr="007E73DC">
        <w:rPr>
          <w:rFonts w:ascii="Verdana" w:hAnsi="Verdana" w:cs="Lucida Sans Unicode"/>
          <w:color w:val="121212"/>
          <w:sz w:val="16"/>
          <w:szCs w:val="16"/>
          <w:shd w:val="clear" w:color="auto" w:fill="FFFFFF"/>
          <w:lang w:val="cs-CZ"/>
        </w:rPr>
        <w:t>Sdružení pro internetovou reklamu v ČR, z.s.p.o. (SPIR) je profesní sdružení působící v oblasti internetové reklamy od roku 2000. V současné době tvoří členská základna sdružení celkem 60 členů. Kromě provozování jednotného, široce respektovaného výzkumu návštěvnosti a sociodemografického profilu návštěvníků internetu NetMonitor, realizuje projekt monitoringu internetové reklamy AdMonitoring, odbornou konferenci o internetovém marketingu IAC a poskytuje expertní analýzy vývoje internetového trhu u nás.</w:t>
      </w:r>
    </w:p>
    <w:p w:rsidR="00C43ECC" w:rsidRPr="007E73DC" w:rsidRDefault="00C43ECC" w:rsidP="00C43ECC">
      <w:pPr>
        <w:jc w:val="both"/>
        <w:rPr>
          <w:rFonts w:ascii="Verdana" w:hAnsi="Verdana"/>
          <w:bCs/>
          <w:sz w:val="16"/>
          <w:szCs w:val="16"/>
          <w:lang w:val="cs-CZ"/>
        </w:rPr>
      </w:pPr>
    </w:p>
    <w:p w:rsidR="00C43ECC" w:rsidRPr="007E73DC" w:rsidRDefault="00C43ECC" w:rsidP="00C43ECC">
      <w:pPr>
        <w:jc w:val="both"/>
        <w:outlineLvl w:val="0"/>
        <w:rPr>
          <w:rFonts w:ascii="Verdana" w:hAnsi="Verdana"/>
          <w:color w:val="800000"/>
          <w:sz w:val="16"/>
          <w:szCs w:val="16"/>
          <w:lang w:val="cs-CZ"/>
        </w:rPr>
      </w:pPr>
      <w:r w:rsidRPr="007E73DC">
        <w:rPr>
          <w:rFonts w:ascii="Verdana" w:hAnsi="Verdana"/>
          <w:b/>
          <w:bCs/>
          <w:color w:val="800000"/>
          <w:sz w:val="16"/>
          <w:szCs w:val="16"/>
          <w:lang w:val="cs-CZ"/>
        </w:rPr>
        <w:t>O společnosti Gemius</w:t>
      </w:r>
      <w:r w:rsidRPr="007E73DC">
        <w:rPr>
          <w:rFonts w:ascii="Verdana" w:hAnsi="Verdana"/>
          <w:color w:val="800000"/>
          <w:sz w:val="16"/>
          <w:szCs w:val="16"/>
          <w:lang w:val="cs-CZ"/>
        </w:rPr>
        <w:t xml:space="preserve"> </w:t>
      </w:r>
    </w:p>
    <w:p w:rsidR="00C43ECC" w:rsidRPr="007E73DC" w:rsidRDefault="00C43ECC" w:rsidP="00C43ECC">
      <w:pPr>
        <w:jc w:val="both"/>
        <w:rPr>
          <w:rFonts w:ascii="Verdana" w:hAnsi="Verdana"/>
          <w:color w:val="808080"/>
          <w:sz w:val="16"/>
          <w:szCs w:val="16"/>
          <w:lang w:val="cs-CZ"/>
        </w:rPr>
      </w:pPr>
    </w:p>
    <w:p w:rsidR="007E73DC" w:rsidRPr="007E73DC" w:rsidRDefault="007E73DC" w:rsidP="007E73DC">
      <w:pPr>
        <w:rPr>
          <w:rFonts w:ascii="Verdana" w:hAnsi="Verdana"/>
          <w:sz w:val="16"/>
          <w:szCs w:val="16"/>
          <w:lang w:val="cs-CZ"/>
        </w:rPr>
      </w:pPr>
      <w:r w:rsidRPr="007E73DC">
        <w:rPr>
          <w:rStyle w:val="hps"/>
          <w:rFonts w:ascii="Verdana" w:hAnsi="Verdana"/>
          <w:sz w:val="16"/>
          <w:szCs w:val="16"/>
          <w:lang w:val="cs-CZ"/>
        </w:rPr>
        <w:t>Gemius je obchodně</w:t>
      </w:r>
      <w:r w:rsidRPr="007E73DC">
        <w:rPr>
          <w:rFonts w:ascii="Verdana" w:hAnsi="Verdana"/>
          <w:sz w:val="16"/>
          <w:szCs w:val="16"/>
          <w:lang w:val="cs-CZ"/>
        </w:rPr>
        <w:t xml:space="preserve"> </w:t>
      </w:r>
      <w:r w:rsidRPr="007E73DC">
        <w:rPr>
          <w:rStyle w:val="hps"/>
          <w:rFonts w:ascii="Verdana" w:hAnsi="Verdana"/>
          <w:sz w:val="16"/>
          <w:szCs w:val="16"/>
          <w:lang w:val="cs-CZ"/>
        </w:rPr>
        <w:t>poradenská společnost</w:t>
      </w:r>
      <w:r w:rsidRPr="007E73DC">
        <w:rPr>
          <w:rFonts w:ascii="Verdana" w:hAnsi="Verdana"/>
          <w:sz w:val="16"/>
          <w:szCs w:val="16"/>
          <w:lang w:val="cs-CZ"/>
        </w:rPr>
        <w:t xml:space="preserve"> </w:t>
      </w:r>
      <w:r w:rsidRPr="007E73DC">
        <w:rPr>
          <w:rStyle w:val="hps"/>
          <w:rFonts w:ascii="Verdana" w:hAnsi="Verdana"/>
          <w:sz w:val="16"/>
          <w:szCs w:val="16"/>
          <w:lang w:val="cs-CZ"/>
        </w:rPr>
        <w:t>poskytující</w:t>
      </w:r>
      <w:r w:rsidRPr="007E73DC">
        <w:rPr>
          <w:rFonts w:ascii="Verdana" w:hAnsi="Verdana"/>
          <w:sz w:val="16"/>
          <w:szCs w:val="16"/>
          <w:lang w:val="cs-CZ"/>
        </w:rPr>
        <w:t xml:space="preserve"> </w:t>
      </w:r>
      <w:r w:rsidRPr="007E73DC">
        <w:rPr>
          <w:rStyle w:val="hps"/>
          <w:rFonts w:ascii="Verdana" w:hAnsi="Verdana"/>
          <w:sz w:val="16"/>
          <w:szCs w:val="16"/>
          <w:lang w:val="cs-CZ"/>
        </w:rPr>
        <w:t>data,</w:t>
      </w:r>
      <w:r w:rsidRPr="007E73DC">
        <w:rPr>
          <w:rFonts w:ascii="Verdana" w:hAnsi="Verdana"/>
          <w:sz w:val="16"/>
          <w:szCs w:val="16"/>
          <w:lang w:val="cs-CZ"/>
        </w:rPr>
        <w:t xml:space="preserve"> </w:t>
      </w:r>
      <w:r w:rsidRPr="007E73DC">
        <w:rPr>
          <w:rStyle w:val="hps"/>
          <w:rFonts w:ascii="Verdana" w:hAnsi="Verdana"/>
          <w:sz w:val="16"/>
          <w:szCs w:val="16"/>
          <w:lang w:val="cs-CZ"/>
        </w:rPr>
        <w:t>řešení</w:t>
      </w:r>
      <w:r w:rsidRPr="007E73DC">
        <w:rPr>
          <w:rFonts w:ascii="Verdana" w:hAnsi="Verdana"/>
          <w:sz w:val="16"/>
          <w:szCs w:val="16"/>
          <w:lang w:val="cs-CZ"/>
        </w:rPr>
        <w:t xml:space="preserve"> </w:t>
      </w:r>
      <w:r w:rsidRPr="007E73DC">
        <w:rPr>
          <w:rStyle w:val="hps"/>
          <w:rFonts w:ascii="Verdana" w:hAnsi="Verdana"/>
          <w:sz w:val="16"/>
          <w:szCs w:val="16"/>
          <w:lang w:val="cs-CZ"/>
        </w:rPr>
        <w:t>a doporučení</w:t>
      </w:r>
      <w:r w:rsidRPr="007E73DC">
        <w:rPr>
          <w:rFonts w:ascii="Verdana" w:hAnsi="Verdana"/>
          <w:sz w:val="16"/>
          <w:szCs w:val="16"/>
          <w:lang w:val="cs-CZ"/>
        </w:rPr>
        <w:t xml:space="preserve"> </w:t>
      </w:r>
      <w:r w:rsidRPr="007E73DC">
        <w:rPr>
          <w:rStyle w:val="hps"/>
          <w:rFonts w:ascii="Verdana" w:hAnsi="Verdana"/>
          <w:sz w:val="16"/>
          <w:szCs w:val="16"/>
          <w:lang w:val="cs-CZ"/>
        </w:rPr>
        <w:t>v oblasti</w:t>
      </w:r>
      <w:r w:rsidRPr="007E73DC">
        <w:rPr>
          <w:rFonts w:ascii="Verdana" w:hAnsi="Verdana"/>
          <w:sz w:val="16"/>
          <w:szCs w:val="16"/>
          <w:lang w:val="cs-CZ"/>
        </w:rPr>
        <w:t xml:space="preserve"> správy online reklamních kampaní, monitoringu a analýzy webových stránek či profilů</w:t>
      </w:r>
      <w:r w:rsidRPr="007E73DC">
        <w:rPr>
          <w:rStyle w:val="hps"/>
          <w:rFonts w:ascii="Verdana" w:hAnsi="Verdana"/>
          <w:sz w:val="16"/>
          <w:szCs w:val="16"/>
          <w:lang w:val="cs-CZ"/>
        </w:rPr>
        <w:t xml:space="preserve"> internetových uživatelů</w:t>
      </w:r>
      <w:r w:rsidRPr="007E73DC">
        <w:rPr>
          <w:rFonts w:ascii="Verdana" w:hAnsi="Verdana"/>
          <w:sz w:val="16"/>
          <w:szCs w:val="16"/>
          <w:lang w:val="cs-CZ"/>
        </w:rPr>
        <w:t xml:space="preserve">. Informace poskytnuté </w:t>
      </w:r>
      <w:r w:rsidRPr="007E73DC">
        <w:rPr>
          <w:rStyle w:val="hps"/>
          <w:rFonts w:ascii="Verdana" w:hAnsi="Verdana"/>
          <w:sz w:val="16"/>
          <w:szCs w:val="16"/>
          <w:lang w:val="cs-CZ"/>
        </w:rPr>
        <w:t>společností</w:t>
      </w:r>
      <w:r w:rsidRPr="007E73DC">
        <w:rPr>
          <w:rFonts w:ascii="Verdana" w:hAnsi="Verdana"/>
          <w:sz w:val="16"/>
          <w:szCs w:val="16"/>
          <w:lang w:val="cs-CZ"/>
        </w:rPr>
        <w:t xml:space="preserve"> </w:t>
      </w:r>
      <w:r w:rsidRPr="007E73DC">
        <w:rPr>
          <w:rStyle w:val="hps"/>
          <w:rFonts w:ascii="Verdana" w:hAnsi="Verdana"/>
          <w:sz w:val="16"/>
          <w:szCs w:val="16"/>
          <w:lang w:val="cs-CZ"/>
        </w:rPr>
        <w:t>jsou</w:t>
      </w:r>
      <w:r w:rsidRPr="007E73DC">
        <w:rPr>
          <w:rFonts w:ascii="Verdana" w:hAnsi="Verdana"/>
          <w:sz w:val="16"/>
          <w:szCs w:val="16"/>
          <w:lang w:val="cs-CZ"/>
        </w:rPr>
        <w:t xml:space="preserve"> </w:t>
      </w:r>
      <w:r w:rsidRPr="007E73DC">
        <w:rPr>
          <w:rStyle w:val="hps"/>
          <w:rFonts w:ascii="Verdana" w:hAnsi="Verdana"/>
          <w:sz w:val="16"/>
          <w:szCs w:val="16"/>
          <w:lang w:val="cs-CZ"/>
        </w:rPr>
        <w:t>základem pro</w:t>
      </w:r>
      <w:r w:rsidRPr="007E73DC">
        <w:rPr>
          <w:rFonts w:ascii="Verdana" w:hAnsi="Verdana"/>
          <w:sz w:val="16"/>
          <w:szCs w:val="16"/>
          <w:lang w:val="cs-CZ"/>
        </w:rPr>
        <w:t xml:space="preserve"> </w:t>
      </w:r>
      <w:r w:rsidRPr="007E73DC">
        <w:rPr>
          <w:rStyle w:val="hps"/>
          <w:rFonts w:ascii="Verdana" w:hAnsi="Verdana"/>
          <w:sz w:val="16"/>
          <w:szCs w:val="16"/>
          <w:lang w:val="cs-CZ"/>
        </w:rPr>
        <w:t>každodenní</w:t>
      </w:r>
      <w:r w:rsidRPr="007E73DC">
        <w:rPr>
          <w:rFonts w:ascii="Verdana" w:hAnsi="Verdana"/>
          <w:sz w:val="16"/>
          <w:szCs w:val="16"/>
          <w:lang w:val="cs-CZ"/>
        </w:rPr>
        <w:t xml:space="preserve"> </w:t>
      </w:r>
      <w:r w:rsidRPr="007E73DC">
        <w:rPr>
          <w:rStyle w:val="hps"/>
          <w:rFonts w:ascii="Verdana" w:hAnsi="Verdana"/>
          <w:sz w:val="16"/>
          <w:szCs w:val="16"/>
          <w:lang w:val="cs-CZ"/>
        </w:rPr>
        <w:t>marketingové a</w:t>
      </w:r>
      <w:r w:rsidRPr="007E73DC">
        <w:rPr>
          <w:rFonts w:ascii="Verdana" w:hAnsi="Verdana"/>
          <w:sz w:val="16"/>
          <w:szCs w:val="16"/>
          <w:lang w:val="cs-CZ"/>
        </w:rPr>
        <w:t xml:space="preserve"> </w:t>
      </w:r>
      <w:r w:rsidRPr="007E73DC">
        <w:rPr>
          <w:rStyle w:val="hps"/>
          <w:rFonts w:ascii="Verdana" w:hAnsi="Verdana"/>
          <w:sz w:val="16"/>
          <w:szCs w:val="16"/>
          <w:lang w:val="cs-CZ"/>
        </w:rPr>
        <w:t>e</w:t>
      </w:r>
      <w:r w:rsidRPr="007E73DC">
        <w:rPr>
          <w:rStyle w:val="atn"/>
          <w:rFonts w:ascii="Verdana" w:hAnsi="Verdana"/>
          <w:sz w:val="16"/>
          <w:szCs w:val="16"/>
          <w:lang w:val="cs-CZ"/>
        </w:rPr>
        <w:t>-</w:t>
      </w:r>
      <w:r w:rsidRPr="007E73DC">
        <w:rPr>
          <w:rFonts w:ascii="Verdana" w:hAnsi="Verdana"/>
          <w:sz w:val="16"/>
          <w:szCs w:val="16"/>
          <w:lang w:val="cs-CZ"/>
        </w:rPr>
        <w:t xml:space="preserve">commerce </w:t>
      </w:r>
      <w:r w:rsidRPr="007E73DC">
        <w:rPr>
          <w:rStyle w:val="hps"/>
          <w:rFonts w:ascii="Verdana" w:hAnsi="Verdana"/>
          <w:sz w:val="16"/>
          <w:szCs w:val="16"/>
          <w:lang w:val="cs-CZ"/>
        </w:rPr>
        <w:t>aktivity téměř</w:t>
      </w:r>
      <w:r w:rsidRPr="007E73DC">
        <w:rPr>
          <w:rFonts w:ascii="Verdana" w:hAnsi="Verdana"/>
          <w:sz w:val="16"/>
          <w:szCs w:val="16"/>
          <w:lang w:val="cs-CZ"/>
        </w:rPr>
        <w:t xml:space="preserve"> </w:t>
      </w:r>
      <w:r w:rsidRPr="007E73DC">
        <w:rPr>
          <w:rStyle w:val="hps"/>
          <w:rFonts w:ascii="Verdana" w:hAnsi="Verdana"/>
          <w:sz w:val="16"/>
          <w:szCs w:val="16"/>
          <w:lang w:val="cs-CZ"/>
        </w:rPr>
        <w:t>2 000</w:t>
      </w:r>
      <w:r w:rsidRPr="007E73DC">
        <w:rPr>
          <w:rFonts w:ascii="Verdana" w:hAnsi="Verdana"/>
          <w:sz w:val="16"/>
          <w:szCs w:val="16"/>
          <w:lang w:val="cs-CZ"/>
        </w:rPr>
        <w:t xml:space="preserve"> </w:t>
      </w:r>
      <w:r w:rsidRPr="007E73DC">
        <w:rPr>
          <w:rStyle w:val="hps"/>
          <w:rFonts w:ascii="Verdana" w:hAnsi="Verdana"/>
          <w:sz w:val="16"/>
          <w:szCs w:val="16"/>
          <w:lang w:val="cs-CZ"/>
        </w:rPr>
        <w:t>firem z</w:t>
      </w:r>
      <w:r w:rsidRPr="007E73DC">
        <w:rPr>
          <w:rFonts w:ascii="Verdana" w:hAnsi="Verdana"/>
          <w:sz w:val="16"/>
          <w:szCs w:val="16"/>
          <w:lang w:val="cs-CZ"/>
        </w:rPr>
        <w:t xml:space="preserve"> odvětví </w:t>
      </w:r>
      <w:r w:rsidRPr="007E73DC">
        <w:rPr>
          <w:rStyle w:val="hps"/>
          <w:rFonts w:ascii="Verdana" w:hAnsi="Verdana"/>
          <w:sz w:val="16"/>
          <w:szCs w:val="16"/>
          <w:lang w:val="cs-CZ"/>
        </w:rPr>
        <w:t>financí, telekomunikací, IT, obchodu, FMCG, automobilového průmyslu</w:t>
      </w:r>
      <w:r w:rsidRPr="007E73DC">
        <w:rPr>
          <w:rFonts w:ascii="Verdana" w:hAnsi="Verdana"/>
          <w:sz w:val="16"/>
          <w:szCs w:val="16"/>
          <w:lang w:val="cs-CZ"/>
        </w:rPr>
        <w:t xml:space="preserve">, </w:t>
      </w:r>
      <w:r w:rsidRPr="007E73DC">
        <w:rPr>
          <w:rStyle w:val="hps"/>
          <w:rFonts w:ascii="Verdana" w:hAnsi="Verdana"/>
          <w:sz w:val="16"/>
          <w:szCs w:val="16"/>
          <w:lang w:val="cs-CZ"/>
        </w:rPr>
        <w:t>farmaceutiky, předních</w:t>
      </w:r>
      <w:r w:rsidRPr="007E73DC">
        <w:rPr>
          <w:rFonts w:ascii="Verdana" w:hAnsi="Verdana"/>
          <w:sz w:val="16"/>
          <w:szCs w:val="16"/>
          <w:lang w:val="cs-CZ"/>
        </w:rPr>
        <w:t xml:space="preserve"> </w:t>
      </w:r>
      <w:r w:rsidRPr="007E73DC">
        <w:rPr>
          <w:rStyle w:val="hps"/>
          <w:rFonts w:ascii="Verdana" w:hAnsi="Verdana"/>
          <w:sz w:val="16"/>
          <w:szCs w:val="16"/>
          <w:lang w:val="cs-CZ"/>
        </w:rPr>
        <w:t>reklamních agentur</w:t>
      </w:r>
      <w:r w:rsidRPr="007E73DC">
        <w:rPr>
          <w:rFonts w:ascii="Verdana" w:hAnsi="Verdana"/>
          <w:sz w:val="16"/>
          <w:szCs w:val="16"/>
          <w:lang w:val="cs-CZ"/>
        </w:rPr>
        <w:t xml:space="preserve"> </w:t>
      </w:r>
      <w:r w:rsidRPr="007E73DC">
        <w:rPr>
          <w:rStyle w:val="hps"/>
          <w:rFonts w:ascii="Verdana" w:hAnsi="Verdana"/>
          <w:sz w:val="16"/>
          <w:szCs w:val="16"/>
          <w:lang w:val="cs-CZ"/>
        </w:rPr>
        <w:t>a reklamních</w:t>
      </w:r>
      <w:r w:rsidRPr="007E73DC">
        <w:rPr>
          <w:rFonts w:ascii="Verdana" w:hAnsi="Verdana"/>
          <w:sz w:val="16"/>
          <w:szCs w:val="16"/>
          <w:lang w:val="cs-CZ"/>
        </w:rPr>
        <w:t xml:space="preserve"> </w:t>
      </w:r>
      <w:r w:rsidRPr="007E73DC">
        <w:rPr>
          <w:rStyle w:val="hps"/>
          <w:rFonts w:ascii="Verdana" w:hAnsi="Verdana"/>
          <w:sz w:val="16"/>
          <w:szCs w:val="16"/>
          <w:lang w:val="cs-CZ"/>
        </w:rPr>
        <w:t>sítí</w:t>
      </w:r>
      <w:r w:rsidRPr="007E73DC">
        <w:rPr>
          <w:rFonts w:ascii="Verdana" w:hAnsi="Verdana"/>
          <w:sz w:val="16"/>
          <w:szCs w:val="16"/>
          <w:lang w:val="cs-CZ"/>
        </w:rPr>
        <w:t xml:space="preserve">, mediálních </w:t>
      </w:r>
      <w:r w:rsidRPr="007E73DC">
        <w:rPr>
          <w:rStyle w:val="hps"/>
          <w:rFonts w:ascii="Verdana" w:hAnsi="Verdana"/>
          <w:sz w:val="16"/>
          <w:szCs w:val="16"/>
          <w:lang w:val="cs-CZ"/>
        </w:rPr>
        <w:t>domů, vydavatelů a zadavatelů reklamy z celého světa</w:t>
      </w:r>
      <w:r w:rsidRPr="007E73DC">
        <w:rPr>
          <w:rFonts w:ascii="Verdana" w:hAnsi="Verdana"/>
          <w:sz w:val="16"/>
          <w:szCs w:val="16"/>
          <w:lang w:val="cs-CZ"/>
        </w:rPr>
        <w:t>.</w:t>
      </w:r>
    </w:p>
    <w:p w:rsidR="007E73DC" w:rsidRPr="007E73DC" w:rsidRDefault="007E73DC" w:rsidP="007E73DC">
      <w:pPr>
        <w:rPr>
          <w:rFonts w:ascii="Verdana" w:hAnsi="Verdana"/>
          <w:sz w:val="16"/>
          <w:szCs w:val="16"/>
          <w:lang w:val="cs-CZ"/>
        </w:rPr>
      </w:pPr>
    </w:p>
    <w:p w:rsidR="007E73DC" w:rsidRPr="007E73DC" w:rsidRDefault="007E73DC" w:rsidP="007E73DC">
      <w:pPr>
        <w:rPr>
          <w:rFonts w:ascii="Verdana" w:hAnsi="Verdana"/>
          <w:sz w:val="16"/>
          <w:szCs w:val="16"/>
          <w:lang w:val="cs-CZ" w:eastAsia="cs-CZ"/>
        </w:rPr>
      </w:pPr>
      <w:r w:rsidRPr="007E73DC">
        <w:rPr>
          <w:rFonts w:ascii="Verdana" w:hAnsi="Verdana"/>
          <w:sz w:val="16"/>
          <w:szCs w:val="16"/>
          <w:lang w:val="cs-CZ" w:eastAsia="cs-CZ"/>
        </w:rPr>
        <w:t>Působíme na 30 trzích v Evropě, na Blízkém východě a v Africe. Prostřednictvím lokálních poboček ve více než 12 státech spolupracujeme s profesními organizacemi věnujícími se globálnímu a lokálnímu rozvoji internetového trhu.</w:t>
      </w:r>
      <w:r w:rsidRPr="007E73DC">
        <w:rPr>
          <w:rFonts w:ascii="Verdana" w:hAnsi="Verdana"/>
          <w:sz w:val="16"/>
          <w:szCs w:val="16"/>
          <w:lang w:val="cs-CZ" w:eastAsia="cs-CZ"/>
        </w:rPr>
        <w:br/>
      </w:r>
      <w:r w:rsidRPr="007E73DC">
        <w:rPr>
          <w:rFonts w:ascii="Verdana" w:hAnsi="Verdana"/>
          <w:sz w:val="16"/>
          <w:szCs w:val="16"/>
          <w:lang w:val="cs-CZ" w:eastAsia="cs-CZ"/>
        </w:rPr>
        <w:br/>
        <w:t xml:space="preserve">Naše studie provádíme na základě vlastní metodiky a technologické infrastruktury za přísného dodržování ICC/ESOMAR norem. Společnost zaměstnává kolem 300 odborníků včetně IT specialistů, matematiků, sociologů a psychologů. Měsíčně analyzujeme 300 miliard událostí vyskytujících se ve virtuálním světě, tj. zobrazení stránek a kliknutí, která byla uskutečněna internetovými uživateli. Společnost </w:t>
      </w:r>
      <w:r w:rsidR="00BA4D50">
        <w:rPr>
          <w:rFonts w:ascii="Verdana" w:hAnsi="Verdana"/>
          <w:sz w:val="16"/>
          <w:szCs w:val="16"/>
          <w:lang w:val="cs-CZ" w:eastAsia="cs-CZ"/>
        </w:rPr>
        <w:t xml:space="preserve">byla založena v roce 1999. Více </w:t>
      </w:r>
      <w:r w:rsidRPr="007E73DC">
        <w:rPr>
          <w:rFonts w:ascii="Verdana" w:hAnsi="Verdana"/>
          <w:sz w:val="16"/>
          <w:szCs w:val="16"/>
          <w:lang w:val="cs-CZ" w:eastAsia="cs-CZ"/>
        </w:rPr>
        <w:t xml:space="preserve">informací naleznete na </w:t>
      </w:r>
      <w:hyperlink r:id="rId8" w:history="1">
        <w:r w:rsidR="00BA4D50" w:rsidRPr="00F85947">
          <w:rPr>
            <w:rStyle w:val="Hypertextovodkaz"/>
            <w:rFonts w:ascii="Verdana" w:hAnsi="Verdana"/>
            <w:sz w:val="16"/>
            <w:szCs w:val="16"/>
            <w:lang w:val="cs-CZ" w:eastAsia="cs-CZ" w:bidi="ar-SA"/>
          </w:rPr>
          <w:t>www.cz.gemius.com</w:t>
        </w:r>
      </w:hyperlink>
      <w:r w:rsidR="00BA4D50">
        <w:rPr>
          <w:rFonts w:ascii="Verdana" w:hAnsi="Verdana"/>
          <w:sz w:val="16"/>
          <w:szCs w:val="16"/>
          <w:lang w:val="cs-CZ" w:eastAsia="cs-CZ" w:bidi="ar-SA"/>
        </w:rPr>
        <w:t xml:space="preserve"> </w:t>
      </w:r>
      <w:r w:rsidRPr="007E73DC">
        <w:rPr>
          <w:rFonts w:ascii="Verdana" w:hAnsi="Verdana"/>
          <w:sz w:val="16"/>
          <w:szCs w:val="16"/>
          <w:lang w:val="cs-CZ" w:eastAsia="cs-CZ"/>
        </w:rPr>
        <w:t xml:space="preserve">a </w:t>
      </w:r>
      <w:hyperlink r:id="rId9" w:history="1">
        <w:r w:rsidRPr="007E73DC">
          <w:rPr>
            <w:rStyle w:val="Hypertextovodkaz"/>
            <w:rFonts w:ascii="Verdana" w:hAnsi="Verdana"/>
            <w:sz w:val="16"/>
            <w:szCs w:val="16"/>
            <w:lang w:val="cs-CZ" w:eastAsia="cs-CZ" w:bidi="ar-SA"/>
          </w:rPr>
          <w:t>www.gemiusinfo.cz</w:t>
        </w:r>
      </w:hyperlink>
      <w:r w:rsidRPr="007E73DC">
        <w:rPr>
          <w:rFonts w:ascii="Verdana" w:hAnsi="Verdana"/>
          <w:sz w:val="16"/>
          <w:szCs w:val="16"/>
          <w:lang w:val="cs-CZ" w:eastAsia="cs-CZ"/>
        </w:rPr>
        <w:t>.</w:t>
      </w:r>
    </w:p>
    <w:p w:rsidR="00C43ECC" w:rsidRPr="007E73DC" w:rsidRDefault="00C43ECC" w:rsidP="00C43ECC">
      <w:pPr>
        <w:jc w:val="both"/>
        <w:rPr>
          <w:rFonts w:ascii="Arial" w:hAnsi="Arial" w:cs="Arial"/>
          <w:sz w:val="17"/>
          <w:szCs w:val="17"/>
          <w:lang w:val="cs-CZ"/>
        </w:rPr>
      </w:pPr>
    </w:p>
    <w:p w:rsidR="00C43ECC" w:rsidRPr="007E73DC" w:rsidRDefault="00C43ECC" w:rsidP="00C43ECC">
      <w:pPr>
        <w:jc w:val="both"/>
        <w:outlineLvl w:val="0"/>
        <w:rPr>
          <w:rFonts w:ascii="Arial" w:hAnsi="Arial" w:cs="Arial"/>
          <w:sz w:val="17"/>
          <w:szCs w:val="17"/>
          <w:lang w:val="cs-CZ"/>
        </w:rPr>
      </w:pPr>
      <w:r w:rsidRPr="007E73DC">
        <w:rPr>
          <w:rFonts w:ascii="Verdana" w:hAnsi="Verdana"/>
          <w:b/>
          <w:bCs/>
          <w:color w:val="800000"/>
          <w:sz w:val="16"/>
          <w:szCs w:val="16"/>
          <w:lang w:val="cs-CZ"/>
        </w:rPr>
        <w:t xml:space="preserve">O společnosti MEDIARESEARCH </w:t>
      </w:r>
    </w:p>
    <w:p w:rsidR="00C43ECC" w:rsidRPr="007E73DC" w:rsidRDefault="00C43ECC" w:rsidP="00C43ECC">
      <w:pPr>
        <w:jc w:val="both"/>
        <w:rPr>
          <w:rFonts w:ascii="Calibri" w:hAnsi="Calibri" w:cs="Tahoma"/>
          <w:b/>
          <w:color w:val="FF7E27"/>
          <w:sz w:val="16"/>
          <w:szCs w:val="16"/>
          <w:lang w:val="cs-CZ"/>
        </w:rPr>
      </w:pPr>
    </w:p>
    <w:p w:rsidR="00C43ECC" w:rsidRPr="007E73DC" w:rsidRDefault="00C43ECC" w:rsidP="00C43ECC">
      <w:pPr>
        <w:jc w:val="both"/>
        <w:rPr>
          <w:rFonts w:ascii="Verdana" w:hAnsi="Verdana" w:cs="Tahoma"/>
          <w:sz w:val="16"/>
          <w:szCs w:val="16"/>
          <w:lang w:val="cs-CZ"/>
        </w:rPr>
      </w:pPr>
      <w:r w:rsidRPr="007E73DC">
        <w:rPr>
          <w:rFonts w:ascii="Verdana" w:hAnsi="Verdana" w:cs="Tahoma"/>
          <w:sz w:val="16"/>
          <w:szCs w:val="16"/>
          <w:lang w:val="cs-CZ"/>
        </w:rPr>
        <w:t>MEDIARESEARCH je výzkumnou agenturou s širokým portfoliem služeb v oblasti realizace marketingových a mediálních výzkumů, zpracování a analýz dat, marketingového poradenství a vývoje software. Je realizátorem tří z nejrozsáhlejších mediálních výzkumů v České a Slovenské republice - Elektronického měření sledovanosti televize (TV metry) v ČR, Výzkumu návštěvnosti a sociodemografie internetu v ČR (NetMonitor) a SR (AIMmonitor) a Monitoringu reklamních výdajů v médiích (Admosphere) a na internetu (AdMonitoring) v ČR.</w:t>
      </w:r>
    </w:p>
    <w:p w:rsidR="00C43ECC" w:rsidRPr="007E73DC" w:rsidRDefault="00C43ECC" w:rsidP="00C43ECC">
      <w:pPr>
        <w:pStyle w:val="Zkladntext"/>
        <w:shd w:val="clear" w:color="auto" w:fill="FFFFFF"/>
        <w:spacing w:before="120" w:after="105" w:line="285" w:lineRule="atLeast"/>
        <w:jc w:val="both"/>
        <w:outlineLvl w:val="0"/>
        <w:rPr>
          <w:rFonts w:ascii="Verdana" w:hAnsi="Verdana" w:cs="Arial"/>
          <w:color w:val="800000"/>
          <w:sz w:val="16"/>
          <w:szCs w:val="16"/>
          <w:lang w:val="cs-CZ"/>
        </w:rPr>
      </w:pPr>
      <w:r w:rsidRPr="007E73DC">
        <w:rPr>
          <w:rStyle w:val="Siln"/>
          <w:rFonts w:ascii="Verdana" w:hAnsi="Verdana" w:cs="Arial"/>
          <w:color w:val="800000"/>
          <w:sz w:val="16"/>
          <w:szCs w:val="16"/>
          <w:lang w:val="cs-CZ"/>
        </w:rPr>
        <w:t>Kontakt pro média:</w:t>
      </w:r>
    </w:p>
    <w:p w:rsidR="00C43ECC" w:rsidRPr="007E73DC" w:rsidRDefault="00C43ECC" w:rsidP="00C43ECC">
      <w:pPr>
        <w:pStyle w:val="Zkladntext"/>
        <w:shd w:val="clear" w:color="auto" w:fill="FFFFFF"/>
        <w:spacing w:before="120" w:after="105"/>
        <w:jc w:val="both"/>
        <w:rPr>
          <w:rFonts w:ascii="Verdana" w:hAnsi="Verdana" w:cs="Arial"/>
          <w:sz w:val="16"/>
          <w:szCs w:val="16"/>
          <w:lang w:val="cs-CZ"/>
        </w:rPr>
      </w:pPr>
      <w:r w:rsidRPr="007E73DC">
        <w:rPr>
          <w:rFonts w:ascii="Verdana" w:hAnsi="Verdana" w:cs="Arial"/>
          <w:sz w:val="16"/>
          <w:szCs w:val="16"/>
          <w:lang w:val="cs-CZ"/>
        </w:rPr>
        <w:t>Gemius s.r.o.</w:t>
      </w:r>
    </w:p>
    <w:p w:rsidR="00C43ECC" w:rsidRPr="007E73DC" w:rsidRDefault="00C43ECC" w:rsidP="00C43ECC">
      <w:pPr>
        <w:pStyle w:val="Zkladntext"/>
        <w:shd w:val="clear" w:color="auto" w:fill="FFFFFF"/>
        <w:spacing w:before="120" w:after="105"/>
        <w:jc w:val="both"/>
        <w:rPr>
          <w:rFonts w:ascii="Verdana" w:hAnsi="Verdana" w:cs="Arial"/>
          <w:sz w:val="16"/>
          <w:szCs w:val="16"/>
          <w:lang w:val="cs-CZ"/>
        </w:rPr>
      </w:pPr>
      <w:r w:rsidRPr="007E73DC">
        <w:rPr>
          <w:rFonts w:ascii="Verdana" w:hAnsi="Verdana" w:cs="Arial"/>
          <w:sz w:val="16"/>
          <w:szCs w:val="16"/>
          <w:lang w:val="cs-CZ"/>
        </w:rPr>
        <w:t>Izabela Urbanová</w:t>
      </w:r>
    </w:p>
    <w:p w:rsidR="00C43ECC" w:rsidRPr="007E73DC" w:rsidRDefault="00C43ECC" w:rsidP="00C43ECC">
      <w:pPr>
        <w:pStyle w:val="Zkladntext"/>
        <w:shd w:val="clear" w:color="auto" w:fill="FFFFFF"/>
        <w:spacing w:before="120" w:after="105"/>
        <w:jc w:val="both"/>
        <w:rPr>
          <w:rFonts w:ascii="Verdana" w:hAnsi="Verdana" w:cs="Arial"/>
          <w:sz w:val="16"/>
          <w:szCs w:val="16"/>
          <w:lang w:val="cs-CZ"/>
        </w:rPr>
      </w:pPr>
      <w:r w:rsidRPr="007E73DC">
        <w:rPr>
          <w:rFonts w:ascii="Verdana" w:hAnsi="Verdana" w:cs="Arial"/>
          <w:sz w:val="16"/>
          <w:szCs w:val="16"/>
          <w:lang w:val="cs-CZ"/>
        </w:rPr>
        <w:t>PR Specialista pro Českou a Slovenskou republiku </w:t>
      </w:r>
    </w:p>
    <w:p w:rsidR="00C43ECC" w:rsidRPr="007E73DC" w:rsidRDefault="00C43ECC" w:rsidP="00C43ECC">
      <w:pPr>
        <w:pStyle w:val="Zkladntext"/>
        <w:shd w:val="clear" w:color="auto" w:fill="FFFFFF"/>
        <w:spacing w:before="120" w:after="105"/>
        <w:jc w:val="both"/>
        <w:rPr>
          <w:rFonts w:ascii="Verdana" w:hAnsi="Verdana" w:cs="Arial"/>
          <w:sz w:val="16"/>
          <w:szCs w:val="16"/>
          <w:lang w:val="cs-CZ"/>
        </w:rPr>
      </w:pPr>
      <w:r w:rsidRPr="007E73DC">
        <w:rPr>
          <w:rFonts w:ascii="Verdana" w:hAnsi="Verdana" w:cs="Arial"/>
          <w:sz w:val="16"/>
          <w:szCs w:val="16"/>
          <w:lang w:val="cs-CZ"/>
        </w:rPr>
        <w:t>Email:izabela.urbanova@gemius.com                                                                                                           Tel.: +420 222 519 423</w:t>
      </w:r>
    </w:p>
    <w:p w:rsidR="00C43ECC" w:rsidRPr="007E73DC" w:rsidRDefault="00C43ECC" w:rsidP="00536F85">
      <w:pPr>
        <w:pStyle w:val="Zkladntext"/>
        <w:shd w:val="clear" w:color="auto" w:fill="FFFFFF"/>
        <w:spacing w:before="120" w:after="105"/>
        <w:jc w:val="both"/>
        <w:rPr>
          <w:rFonts w:ascii="Verdana" w:hAnsi="Verdana"/>
          <w:sz w:val="20"/>
          <w:szCs w:val="20"/>
          <w:lang w:val="cs-CZ"/>
        </w:rPr>
      </w:pPr>
      <w:hyperlink r:id="rId10" w:history="1">
        <w:r w:rsidRPr="007E73DC">
          <w:rPr>
            <w:rStyle w:val="Hypertextovodkaz"/>
            <w:rFonts w:ascii="Verdana" w:hAnsi="Verdana" w:cs="Arial"/>
            <w:sz w:val="16"/>
            <w:szCs w:val="16"/>
            <w:lang w:val="cs-CZ"/>
          </w:rPr>
          <w:t>www.cz.gemius.com</w:t>
        </w:r>
      </w:hyperlink>
      <w:r w:rsidR="00536F85">
        <w:rPr>
          <w:rFonts w:ascii="Verdana" w:hAnsi="Verdana" w:cs="Arial"/>
          <w:sz w:val="16"/>
          <w:szCs w:val="16"/>
          <w:lang w:val="cs-CZ"/>
        </w:rPr>
        <w:t>         </w:t>
      </w:r>
    </w:p>
    <w:p w:rsidR="00527E78" w:rsidRPr="007E73DC" w:rsidRDefault="00527E78" w:rsidP="00C43ECC">
      <w:pPr>
        <w:spacing w:line="276" w:lineRule="auto"/>
        <w:jc w:val="both"/>
        <w:outlineLvl w:val="0"/>
        <w:rPr>
          <w:lang w:val="cs-CZ"/>
        </w:rPr>
      </w:pPr>
    </w:p>
    <w:sectPr w:rsidR="00527E78" w:rsidRPr="007E73DC">
      <w:headerReference w:type="default" r:id="rId11"/>
      <w:footerReference w:type="default" r:id="rId12"/>
      <w:pgSz w:w="11906" w:h="16838"/>
      <w:pgMar w:top="1418" w:right="1418" w:bottom="1134" w:left="1418" w:header="680" w:footer="567" w:gutter="0"/>
      <w:cols w:space="708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777" w:rsidRDefault="00C24777" w:rsidP="00D711C7">
      <w:r>
        <w:separator/>
      </w:r>
    </w:p>
  </w:endnote>
  <w:endnote w:type="continuationSeparator" w:id="0">
    <w:p w:rsidR="00C24777" w:rsidRDefault="00C24777" w:rsidP="00D71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777" w:rsidRDefault="00A900D4" w:rsidP="00335E3A">
    <w:pPr>
      <w:pStyle w:val="Zpat"/>
      <w:rPr>
        <w:sz w:val="20"/>
        <w:szCs w:val="20"/>
        <w:lang w:eastAsia="cs-CZ"/>
      </w:rPr>
    </w:pPr>
    <w:r>
      <w:rPr>
        <w:noProof/>
        <w:sz w:val="20"/>
        <w:szCs w:val="20"/>
        <w:lang w:val="cs-CZ" w:eastAsia="cs-CZ" w:bidi="ar-SA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1023620</wp:posOffset>
          </wp:positionH>
          <wp:positionV relativeFrom="page">
            <wp:posOffset>9253220</wp:posOffset>
          </wp:positionV>
          <wp:extent cx="6468745" cy="1238250"/>
          <wp:effectExtent l="0" t="0" r="0" b="0"/>
          <wp:wrapNone/>
          <wp:docPr id="2" name="Obraz 25" descr="stopka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 descr="stopka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8745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58A5">
      <w:rPr>
        <w:sz w:val="20"/>
        <w:szCs w:val="20"/>
        <w:lang w:eastAsia="cs-CZ"/>
      </w:rPr>
      <w:t xml:space="preserve">   </w:t>
    </w:r>
  </w:p>
  <w:p w:rsidR="009758A5" w:rsidRPr="00ED437C" w:rsidRDefault="009758A5" w:rsidP="00335E3A">
    <w:pPr>
      <w:pStyle w:val="Zpat"/>
      <w:rPr>
        <w:rFonts w:ascii="Calibri" w:hAnsi="Calibri"/>
        <w:szCs w:val="16"/>
        <w:lang w:val="cs-CZ"/>
      </w:rPr>
    </w:pPr>
    <w:r w:rsidRPr="00ED437C">
      <w:rPr>
        <w:rFonts w:ascii="Calibri" w:hAnsi="Calibri"/>
        <w:sz w:val="20"/>
        <w:szCs w:val="20"/>
        <w:lang w:val="cs-CZ" w:eastAsia="cs-CZ"/>
      </w:rPr>
      <w:t xml:space="preserve">Gemius s.r.o. </w:t>
    </w:r>
    <w:r w:rsidRPr="00ED437C">
      <w:rPr>
        <w:rFonts w:ascii="Calibri" w:hAnsi="Calibri"/>
        <w:sz w:val="20"/>
        <w:szCs w:val="20"/>
        <w:lang w:val="cs-CZ"/>
      </w:rPr>
      <w:t xml:space="preserve">| Českobratrská 1, 130 00 Praha 3 | Tel.: 222 519 423| </w:t>
    </w:r>
    <w:r w:rsidRPr="00ED437C">
      <w:rPr>
        <w:rFonts w:ascii="Calibri" w:hAnsi="Calibri"/>
        <w:sz w:val="20"/>
        <w:szCs w:val="20"/>
        <w:lang w:val="pl-PL"/>
      </w:rPr>
      <w:t>www.cz.gemius.com</w:t>
    </w:r>
  </w:p>
  <w:p w:rsidR="009758A5" w:rsidRDefault="009758A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777" w:rsidRDefault="00C24777" w:rsidP="00D711C7">
      <w:r>
        <w:separator/>
      </w:r>
    </w:p>
  </w:footnote>
  <w:footnote w:type="continuationSeparator" w:id="0">
    <w:p w:rsidR="00C24777" w:rsidRDefault="00C24777" w:rsidP="00D711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8A5" w:rsidRDefault="00A900D4">
    <w:pPr>
      <w:pStyle w:val="Zhlav"/>
    </w:pPr>
    <w:r>
      <w:rPr>
        <w:noProof/>
        <w:lang w:val="cs-CZ" w:eastAsia="cs-CZ" w:bidi="ar-SA"/>
      </w:rPr>
      <w:drawing>
        <wp:inline distT="0" distB="0" distL="0" distR="0">
          <wp:extent cx="1847850" cy="354330"/>
          <wp:effectExtent l="0" t="0" r="0" b="7620"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354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758A5">
      <w:rPr>
        <w:lang w:val="cs-CZ"/>
      </w:rPr>
      <w:t xml:space="preserve">                        </w:t>
    </w:r>
    <w:r w:rsidR="009758A5">
      <w:rPr>
        <w:lang w:val="pl-PL" w:eastAsia="ar-SA" w:bidi="ar-SA"/>
      </w:rPr>
      <w:t xml:space="preserve">                         </w:t>
    </w:r>
    <w:r w:rsidR="009758A5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3D6"/>
    <w:rsid w:val="000001D8"/>
    <w:rsid w:val="00015AE8"/>
    <w:rsid w:val="00016362"/>
    <w:rsid w:val="000409A2"/>
    <w:rsid w:val="00044B38"/>
    <w:rsid w:val="00045267"/>
    <w:rsid w:val="00061111"/>
    <w:rsid w:val="000616AB"/>
    <w:rsid w:val="0006529F"/>
    <w:rsid w:val="00067E12"/>
    <w:rsid w:val="000702BF"/>
    <w:rsid w:val="00071F96"/>
    <w:rsid w:val="0007337E"/>
    <w:rsid w:val="00074767"/>
    <w:rsid w:val="00077EBC"/>
    <w:rsid w:val="000860AF"/>
    <w:rsid w:val="00090FAC"/>
    <w:rsid w:val="00091E4D"/>
    <w:rsid w:val="000973E0"/>
    <w:rsid w:val="000A6E72"/>
    <w:rsid w:val="000B0C2D"/>
    <w:rsid w:val="000B3D03"/>
    <w:rsid w:val="000C3C89"/>
    <w:rsid w:val="000D1C48"/>
    <w:rsid w:val="000D35A7"/>
    <w:rsid w:val="000D3A3F"/>
    <w:rsid w:val="000E0488"/>
    <w:rsid w:val="000F58B9"/>
    <w:rsid w:val="00112A33"/>
    <w:rsid w:val="00117962"/>
    <w:rsid w:val="00117B58"/>
    <w:rsid w:val="001210D1"/>
    <w:rsid w:val="00123A8E"/>
    <w:rsid w:val="00125B53"/>
    <w:rsid w:val="001307C6"/>
    <w:rsid w:val="0013217B"/>
    <w:rsid w:val="00133C41"/>
    <w:rsid w:val="00135B84"/>
    <w:rsid w:val="00135C31"/>
    <w:rsid w:val="00145D89"/>
    <w:rsid w:val="001479A1"/>
    <w:rsid w:val="001500FB"/>
    <w:rsid w:val="00151142"/>
    <w:rsid w:val="0015354F"/>
    <w:rsid w:val="00170C9A"/>
    <w:rsid w:val="00173601"/>
    <w:rsid w:val="00173996"/>
    <w:rsid w:val="00181EE6"/>
    <w:rsid w:val="001A71BD"/>
    <w:rsid w:val="001C6049"/>
    <w:rsid w:val="001D1470"/>
    <w:rsid w:val="001D40E1"/>
    <w:rsid w:val="001D7843"/>
    <w:rsid w:val="001E1A04"/>
    <w:rsid w:val="001E4307"/>
    <w:rsid w:val="001E682D"/>
    <w:rsid w:val="001F39EF"/>
    <w:rsid w:val="00202AC0"/>
    <w:rsid w:val="00210B14"/>
    <w:rsid w:val="00212C96"/>
    <w:rsid w:val="0021348D"/>
    <w:rsid w:val="002212C3"/>
    <w:rsid w:val="00223D7C"/>
    <w:rsid w:val="00224B46"/>
    <w:rsid w:val="002308ED"/>
    <w:rsid w:val="00233777"/>
    <w:rsid w:val="002520AA"/>
    <w:rsid w:val="00266BC6"/>
    <w:rsid w:val="0027469A"/>
    <w:rsid w:val="0027650B"/>
    <w:rsid w:val="002A4847"/>
    <w:rsid w:val="002A6243"/>
    <w:rsid w:val="002A722E"/>
    <w:rsid w:val="002B161A"/>
    <w:rsid w:val="002B6BC3"/>
    <w:rsid w:val="002C0599"/>
    <w:rsid w:val="002F2433"/>
    <w:rsid w:val="002F4BCD"/>
    <w:rsid w:val="003110A8"/>
    <w:rsid w:val="00313EF7"/>
    <w:rsid w:val="00320005"/>
    <w:rsid w:val="00324C0C"/>
    <w:rsid w:val="00324D73"/>
    <w:rsid w:val="003350B9"/>
    <w:rsid w:val="00335E3A"/>
    <w:rsid w:val="00341EE1"/>
    <w:rsid w:val="003520E0"/>
    <w:rsid w:val="00362D71"/>
    <w:rsid w:val="00364D15"/>
    <w:rsid w:val="00396F62"/>
    <w:rsid w:val="003977C9"/>
    <w:rsid w:val="003A2B84"/>
    <w:rsid w:val="003A5935"/>
    <w:rsid w:val="003A7BC2"/>
    <w:rsid w:val="003D57C1"/>
    <w:rsid w:val="003D58BC"/>
    <w:rsid w:val="003E11A4"/>
    <w:rsid w:val="003F4875"/>
    <w:rsid w:val="0042248E"/>
    <w:rsid w:val="00422740"/>
    <w:rsid w:val="004342AB"/>
    <w:rsid w:val="00440381"/>
    <w:rsid w:val="00442B6B"/>
    <w:rsid w:val="00443894"/>
    <w:rsid w:val="004622D8"/>
    <w:rsid w:val="00465798"/>
    <w:rsid w:val="00477720"/>
    <w:rsid w:val="00477C06"/>
    <w:rsid w:val="00477CA6"/>
    <w:rsid w:val="0049327D"/>
    <w:rsid w:val="004951F5"/>
    <w:rsid w:val="004953D6"/>
    <w:rsid w:val="00496518"/>
    <w:rsid w:val="00496A40"/>
    <w:rsid w:val="004A0487"/>
    <w:rsid w:val="004B3525"/>
    <w:rsid w:val="004D19F9"/>
    <w:rsid w:val="004D410F"/>
    <w:rsid w:val="004E4F28"/>
    <w:rsid w:val="004F7E05"/>
    <w:rsid w:val="00505288"/>
    <w:rsid w:val="005156AA"/>
    <w:rsid w:val="00516633"/>
    <w:rsid w:val="005270A9"/>
    <w:rsid w:val="00527E78"/>
    <w:rsid w:val="00530523"/>
    <w:rsid w:val="00536F85"/>
    <w:rsid w:val="005411E5"/>
    <w:rsid w:val="00542C61"/>
    <w:rsid w:val="0054548C"/>
    <w:rsid w:val="00551797"/>
    <w:rsid w:val="00554989"/>
    <w:rsid w:val="005701A8"/>
    <w:rsid w:val="005719CD"/>
    <w:rsid w:val="00581F60"/>
    <w:rsid w:val="00582430"/>
    <w:rsid w:val="005854F9"/>
    <w:rsid w:val="00587867"/>
    <w:rsid w:val="005A1BD6"/>
    <w:rsid w:val="005A1FF6"/>
    <w:rsid w:val="005A28B4"/>
    <w:rsid w:val="005A4AE7"/>
    <w:rsid w:val="005B08C9"/>
    <w:rsid w:val="005B3C5A"/>
    <w:rsid w:val="005C088A"/>
    <w:rsid w:val="005C6847"/>
    <w:rsid w:val="005D4683"/>
    <w:rsid w:val="005E1A89"/>
    <w:rsid w:val="005E78A8"/>
    <w:rsid w:val="005F2074"/>
    <w:rsid w:val="00611284"/>
    <w:rsid w:val="006130BB"/>
    <w:rsid w:val="00613B88"/>
    <w:rsid w:val="00614C9D"/>
    <w:rsid w:val="00630C9D"/>
    <w:rsid w:val="00631964"/>
    <w:rsid w:val="006343F4"/>
    <w:rsid w:val="006429E2"/>
    <w:rsid w:val="006459FB"/>
    <w:rsid w:val="006634DF"/>
    <w:rsid w:val="00670D04"/>
    <w:rsid w:val="00683446"/>
    <w:rsid w:val="00694F1B"/>
    <w:rsid w:val="00696B18"/>
    <w:rsid w:val="006A3566"/>
    <w:rsid w:val="006B008C"/>
    <w:rsid w:val="006B38C0"/>
    <w:rsid w:val="006C27FE"/>
    <w:rsid w:val="006D1819"/>
    <w:rsid w:val="006E01BF"/>
    <w:rsid w:val="006E0D94"/>
    <w:rsid w:val="006F5A6D"/>
    <w:rsid w:val="00700229"/>
    <w:rsid w:val="007002B5"/>
    <w:rsid w:val="007076A3"/>
    <w:rsid w:val="00714AC2"/>
    <w:rsid w:val="007176BD"/>
    <w:rsid w:val="00720200"/>
    <w:rsid w:val="00750AAE"/>
    <w:rsid w:val="0075769C"/>
    <w:rsid w:val="0076355D"/>
    <w:rsid w:val="0078060F"/>
    <w:rsid w:val="0079415F"/>
    <w:rsid w:val="007A0A8B"/>
    <w:rsid w:val="007A69F9"/>
    <w:rsid w:val="007A745F"/>
    <w:rsid w:val="007D24E6"/>
    <w:rsid w:val="007D29B5"/>
    <w:rsid w:val="007E35AE"/>
    <w:rsid w:val="007E374B"/>
    <w:rsid w:val="007E73DC"/>
    <w:rsid w:val="007E7511"/>
    <w:rsid w:val="007F6387"/>
    <w:rsid w:val="00806F8E"/>
    <w:rsid w:val="00817B73"/>
    <w:rsid w:val="00820CA9"/>
    <w:rsid w:val="008211EE"/>
    <w:rsid w:val="0082621D"/>
    <w:rsid w:val="008318BD"/>
    <w:rsid w:val="008408A4"/>
    <w:rsid w:val="00845D99"/>
    <w:rsid w:val="0084661A"/>
    <w:rsid w:val="00854ED8"/>
    <w:rsid w:val="008565CF"/>
    <w:rsid w:val="0086095E"/>
    <w:rsid w:val="00860A67"/>
    <w:rsid w:val="00865371"/>
    <w:rsid w:val="008654C8"/>
    <w:rsid w:val="008717D3"/>
    <w:rsid w:val="00880B19"/>
    <w:rsid w:val="0088647F"/>
    <w:rsid w:val="00892A93"/>
    <w:rsid w:val="00893D7E"/>
    <w:rsid w:val="008A3653"/>
    <w:rsid w:val="008A414B"/>
    <w:rsid w:val="008A50FD"/>
    <w:rsid w:val="008A6BED"/>
    <w:rsid w:val="008B10A9"/>
    <w:rsid w:val="008B3001"/>
    <w:rsid w:val="008D2539"/>
    <w:rsid w:val="008E428C"/>
    <w:rsid w:val="008F5EC9"/>
    <w:rsid w:val="008F6468"/>
    <w:rsid w:val="00900D2B"/>
    <w:rsid w:val="009037DB"/>
    <w:rsid w:val="00910C99"/>
    <w:rsid w:val="00913696"/>
    <w:rsid w:val="009267B3"/>
    <w:rsid w:val="009278B0"/>
    <w:rsid w:val="0093440A"/>
    <w:rsid w:val="00941378"/>
    <w:rsid w:val="009477C2"/>
    <w:rsid w:val="0095065B"/>
    <w:rsid w:val="009548C6"/>
    <w:rsid w:val="009758A5"/>
    <w:rsid w:val="009913CB"/>
    <w:rsid w:val="0099563D"/>
    <w:rsid w:val="009A5754"/>
    <w:rsid w:val="009A69B3"/>
    <w:rsid w:val="009D109B"/>
    <w:rsid w:val="009D2548"/>
    <w:rsid w:val="009D25CD"/>
    <w:rsid w:val="009D2BB7"/>
    <w:rsid w:val="009E44CB"/>
    <w:rsid w:val="009F15AA"/>
    <w:rsid w:val="009F6E6C"/>
    <w:rsid w:val="009F7A0B"/>
    <w:rsid w:val="00A0371D"/>
    <w:rsid w:val="00A07083"/>
    <w:rsid w:val="00A1600B"/>
    <w:rsid w:val="00A25020"/>
    <w:rsid w:val="00A257FA"/>
    <w:rsid w:val="00A33304"/>
    <w:rsid w:val="00A372CC"/>
    <w:rsid w:val="00A462DA"/>
    <w:rsid w:val="00A501B3"/>
    <w:rsid w:val="00A560B9"/>
    <w:rsid w:val="00A62F85"/>
    <w:rsid w:val="00A64FDA"/>
    <w:rsid w:val="00A6799F"/>
    <w:rsid w:val="00A73D2A"/>
    <w:rsid w:val="00A76A0E"/>
    <w:rsid w:val="00A811CC"/>
    <w:rsid w:val="00A84422"/>
    <w:rsid w:val="00A86357"/>
    <w:rsid w:val="00A87377"/>
    <w:rsid w:val="00A900D4"/>
    <w:rsid w:val="00A90144"/>
    <w:rsid w:val="00A933D8"/>
    <w:rsid w:val="00A94C61"/>
    <w:rsid w:val="00AA05E1"/>
    <w:rsid w:val="00AA654B"/>
    <w:rsid w:val="00AC24B6"/>
    <w:rsid w:val="00AD2857"/>
    <w:rsid w:val="00AD4B81"/>
    <w:rsid w:val="00AE686A"/>
    <w:rsid w:val="00AF0524"/>
    <w:rsid w:val="00AF14D4"/>
    <w:rsid w:val="00B179B3"/>
    <w:rsid w:val="00B20592"/>
    <w:rsid w:val="00B2322E"/>
    <w:rsid w:val="00B416E6"/>
    <w:rsid w:val="00B559D2"/>
    <w:rsid w:val="00B70765"/>
    <w:rsid w:val="00B74BF8"/>
    <w:rsid w:val="00B83703"/>
    <w:rsid w:val="00B93F5C"/>
    <w:rsid w:val="00B94702"/>
    <w:rsid w:val="00BA32E5"/>
    <w:rsid w:val="00BA4D50"/>
    <w:rsid w:val="00BA582E"/>
    <w:rsid w:val="00BD1D07"/>
    <w:rsid w:val="00BD2E9A"/>
    <w:rsid w:val="00BD6C61"/>
    <w:rsid w:val="00BE71FF"/>
    <w:rsid w:val="00BF0407"/>
    <w:rsid w:val="00BF6C74"/>
    <w:rsid w:val="00C02128"/>
    <w:rsid w:val="00C1047A"/>
    <w:rsid w:val="00C24777"/>
    <w:rsid w:val="00C313E9"/>
    <w:rsid w:val="00C31B5A"/>
    <w:rsid w:val="00C36CF2"/>
    <w:rsid w:val="00C40DE6"/>
    <w:rsid w:val="00C43EB8"/>
    <w:rsid w:val="00C43ECC"/>
    <w:rsid w:val="00C525E4"/>
    <w:rsid w:val="00C64517"/>
    <w:rsid w:val="00C64A3A"/>
    <w:rsid w:val="00C6729F"/>
    <w:rsid w:val="00C70FE9"/>
    <w:rsid w:val="00C76B90"/>
    <w:rsid w:val="00C95D27"/>
    <w:rsid w:val="00CB175B"/>
    <w:rsid w:val="00CB735B"/>
    <w:rsid w:val="00CC1788"/>
    <w:rsid w:val="00CD39FF"/>
    <w:rsid w:val="00CD48D2"/>
    <w:rsid w:val="00CE3ACC"/>
    <w:rsid w:val="00CF5B75"/>
    <w:rsid w:val="00CF5F6E"/>
    <w:rsid w:val="00D00E22"/>
    <w:rsid w:val="00D0471C"/>
    <w:rsid w:val="00D11DBB"/>
    <w:rsid w:val="00D253AC"/>
    <w:rsid w:val="00D3662C"/>
    <w:rsid w:val="00D37A0B"/>
    <w:rsid w:val="00D37F96"/>
    <w:rsid w:val="00D419EA"/>
    <w:rsid w:val="00D43972"/>
    <w:rsid w:val="00D45785"/>
    <w:rsid w:val="00D55E83"/>
    <w:rsid w:val="00D64DCE"/>
    <w:rsid w:val="00D66DDE"/>
    <w:rsid w:val="00D67F9A"/>
    <w:rsid w:val="00D711C7"/>
    <w:rsid w:val="00D75D89"/>
    <w:rsid w:val="00D804A6"/>
    <w:rsid w:val="00DA003F"/>
    <w:rsid w:val="00DA2158"/>
    <w:rsid w:val="00DA7B27"/>
    <w:rsid w:val="00DB3B76"/>
    <w:rsid w:val="00DC2A82"/>
    <w:rsid w:val="00DD4246"/>
    <w:rsid w:val="00DD792F"/>
    <w:rsid w:val="00DE59C2"/>
    <w:rsid w:val="00DF3E25"/>
    <w:rsid w:val="00E00FFE"/>
    <w:rsid w:val="00E142DB"/>
    <w:rsid w:val="00E16DB7"/>
    <w:rsid w:val="00E2020A"/>
    <w:rsid w:val="00E20E8F"/>
    <w:rsid w:val="00E23464"/>
    <w:rsid w:val="00E2675D"/>
    <w:rsid w:val="00E40EB2"/>
    <w:rsid w:val="00E474A1"/>
    <w:rsid w:val="00E50C4D"/>
    <w:rsid w:val="00E5733A"/>
    <w:rsid w:val="00E77CB2"/>
    <w:rsid w:val="00E83787"/>
    <w:rsid w:val="00E95F0C"/>
    <w:rsid w:val="00EA3288"/>
    <w:rsid w:val="00EA504C"/>
    <w:rsid w:val="00EA7818"/>
    <w:rsid w:val="00EB7BA2"/>
    <w:rsid w:val="00EC43E1"/>
    <w:rsid w:val="00EC4EAB"/>
    <w:rsid w:val="00ED437C"/>
    <w:rsid w:val="00EE64AD"/>
    <w:rsid w:val="00F14D10"/>
    <w:rsid w:val="00F22FBE"/>
    <w:rsid w:val="00F23C7B"/>
    <w:rsid w:val="00F26EF5"/>
    <w:rsid w:val="00F32EFA"/>
    <w:rsid w:val="00F35524"/>
    <w:rsid w:val="00F44C0F"/>
    <w:rsid w:val="00F47B49"/>
    <w:rsid w:val="00F62790"/>
    <w:rsid w:val="00F826ED"/>
    <w:rsid w:val="00F82AFE"/>
    <w:rsid w:val="00F90599"/>
    <w:rsid w:val="00F93112"/>
    <w:rsid w:val="00F949A1"/>
    <w:rsid w:val="00FA0B67"/>
    <w:rsid w:val="00FA7616"/>
    <w:rsid w:val="00FB17B0"/>
    <w:rsid w:val="00FB1EEB"/>
    <w:rsid w:val="00FB321E"/>
    <w:rsid w:val="00FB6536"/>
    <w:rsid w:val="00FC1AB3"/>
    <w:rsid w:val="00FD7995"/>
    <w:rsid w:val="00FE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rFonts w:eastAsia="SimSun" w:cs="Mangal"/>
      <w:kern w:val="1"/>
      <w:sz w:val="24"/>
      <w:szCs w:val="24"/>
      <w:lang w:val="en-GB" w:eastAsia="hi-IN" w:bidi="hi-IN"/>
    </w:rPr>
  </w:style>
  <w:style w:type="character" w:default="1" w:styleId="Standardnpsmoodstavce">
    <w:name w:val="Default Paragraph Font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omylnaczcionkaakapitu3">
    <w:name w:val="Domyślna czcionka akapitu3"/>
  </w:style>
  <w:style w:type="character" w:customStyle="1" w:styleId="Absatz-Standardschriftart">
    <w:name w:val="Absatz-Standardschriftart"/>
  </w:style>
  <w:style w:type="character" w:customStyle="1" w:styleId="Domylnaczcionkaakapitu2">
    <w:name w:val="Domyślna czcionka akapitu2"/>
  </w:style>
  <w:style w:type="character" w:customStyle="1" w:styleId="WW-Absatz-Standardschriftart">
    <w:name w:val="WW-Absatz-Standardschriftart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TekstdymkaZnak1">
    <w:name w:val="Tekst dymka Znak1"/>
    <w:rPr>
      <w:rFonts w:ascii="Tahoma" w:eastAsia="SimSun" w:hAnsi="Tahoma" w:cs="Mangal"/>
      <w:kern w:val="1"/>
      <w:sz w:val="16"/>
      <w:szCs w:val="14"/>
      <w:lang w:val="en-GB" w:eastAsia="hi-IN" w:bidi="hi-IN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eastAsia="SimSun" w:cs="Mangal"/>
      <w:kern w:val="1"/>
      <w:szCs w:val="18"/>
      <w:lang w:val="en-GB" w:eastAsia="hi-IN" w:bidi="hi-IN"/>
    </w:rPr>
  </w:style>
  <w:style w:type="character" w:customStyle="1" w:styleId="TematkomentarzaZnak1">
    <w:name w:val="Temat komentarza Znak1"/>
    <w:rPr>
      <w:rFonts w:eastAsia="SimSun" w:cs="Mangal"/>
      <w:b/>
      <w:bCs/>
      <w:kern w:val="1"/>
      <w:szCs w:val="18"/>
      <w:lang w:val="en-GB" w:eastAsia="hi-IN" w:bidi="hi-IN"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ekstprzypisukocowegoZnak">
    <w:name w:val="Tekst przypisu końcowego Znak"/>
    <w:rPr>
      <w:rFonts w:eastAsia="SimSun" w:cs="Mangal"/>
      <w:kern w:val="1"/>
      <w:szCs w:val="18"/>
      <w:lang w:val="en-GB" w:eastAsia="hi-IN" w:bidi="hi-IN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PlandokumentuZnak">
    <w:name w:val="Plan dokumentu Znak"/>
    <w:rPr>
      <w:rFonts w:ascii="Tahoma" w:eastAsia="SimSun" w:hAnsi="Tahoma" w:cs="Mangal"/>
      <w:kern w:val="1"/>
      <w:sz w:val="16"/>
      <w:szCs w:val="14"/>
      <w:lang w:val="en-GB" w:eastAsia="hi-IN" w:bidi="hi-IN"/>
    </w:rPr>
  </w:style>
  <w:style w:type="character" w:customStyle="1" w:styleId="hps">
    <w:name w:val="hps"/>
    <w:basedOn w:val="Domylnaczcionkaakapitu3"/>
  </w:style>
  <w:style w:type="paragraph" w:customStyle="1" w:styleId="Nagwek3">
    <w:name w:val="Nagłówek3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dpis3">
    <w:name w:val="Podpis3"/>
    <w:basedOn w:val="Normln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ln"/>
    <w:pPr>
      <w:suppressLineNumbers/>
    </w:pPr>
  </w:style>
  <w:style w:type="paragraph" w:customStyle="1" w:styleId="Nagwek2">
    <w:name w:val="Nagłówek2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ln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Nagwek1">
    <w:name w:val="Nagłówek1"/>
    <w:basedOn w:val="Normln"/>
    <w:next w:val="Zkladntext"/>
    <w:pPr>
      <w:keepNext/>
      <w:spacing w:before="240" w:line="100" w:lineRule="atLeast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ln"/>
    <w:pPr>
      <w:suppressLineNumbers/>
      <w:spacing w:before="120" w:after="120"/>
    </w:pPr>
    <w:rPr>
      <w:i/>
      <w:iCs/>
    </w:rPr>
  </w:style>
  <w:style w:type="paragraph" w:styleId="Zpat">
    <w:name w:val="footer"/>
    <w:basedOn w:val="Normln"/>
    <w:pPr>
      <w:suppressLineNumbers/>
      <w:spacing w:line="100" w:lineRule="atLeast"/>
    </w:pPr>
  </w:style>
  <w:style w:type="paragraph" w:customStyle="1" w:styleId="Tekstdymka1">
    <w:name w:val="Tekst dymka1"/>
    <w:basedOn w:val="Normln"/>
    <w:pPr>
      <w:spacing w:line="100" w:lineRule="atLeast"/>
    </w:pPr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ln"/>
    <w:pPr>
      <w:spacing w:line="100" w:lineRule="atLeast"/>
    </w:pPr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styleId="Zhlav">
    <w:name w:val="header"/>
    <w:basedOn w:val="Normln"/>
    <w:pPr>
      <w:suppressLineNumbers/>
    </w:pPr>
  </w:style>
  <w:style w:type="paragraph" w:styleId="Textbubliny">
    <w:name w:val="Balloon Text"/>
    <w:basedOn w:val="Normln"/>
    <w:rPr>
      <w:rFonts w:ascii="Tahoma" w:hAnsi="Tahoma"/>
      <w:sz w:val="16"/>
      <w:szCs w:val="14"/>
    </w:rPr>
  </w:style>
  <w:style w:type="paragraph" w:customStyle="1" w:styleId="Tekstkomentarza2">
    <w:name w:val="Tekst komentarza2"/>
    <w:basedOn w:val="Normln"/>
    <w:rPr>
      <w:sz w:val="20"/>
      <w:szCs w:val="18"/>
    </w:rPr>
  </w:style>
  <w:style w:type="paragraph" w:styleId="Pedmtkomente">
    <w:name w:val="annotation subject"/>
    <w:basedOn w:val="Tekstkomentarza2"/>
    <w:next w:val="Tekstkomentarza2"/>
    <w:rPr>
      <w:b/>
      <w:bCs/>
    </w:rPr>
  </w:style>
  <w:style w:type="paragraph" w:styleId="Textpoznpodarou">
    <w:name w:val="footnote text"/>
    <w:basedOn w:val="Normln"/>
    <w:rPr>
      <w:sz w:val="20"/>
      <w:szCs w:val="20"/>
    </w:rPr>
  </w:style>
  <w:style w:type="paragraph" w:styleId="Textvysvtlivek">
    <w:name w:val="endnote text"/>
    <w:basedOn w:val="Normln"/>
    <w:rPr>
      <w:sz w:val="20"/>
      <w:szCs w:val="18"/>
    </w:rPr>
  </w:style>
  <w:style w:type="paragraph" w:customStyle="1" w:styleId="Plandokumentu1">
    <w:name w:val="Plan dokumentu1"/>
    <w:basedOn w:val="Normln"/>
    <w:rPr>
      <w:rFonts w:ascii="Tahoma" w:hAnsi="Tahoma"/>
      <w:sz w:val="16"/>
      <w:szCs w:val="14"/>
    </w:rPr>
  </w:style>
  <w:style w:type="paragraph" w:styleId="Normlnweb">
    <w:name w:val="Normal (Web)"/>
    <w:basedOn w:val="Normln"/>
    <w:pPr>
      <w:suppressAutoHyphens w:val="0"/>
      <w:spacing w:before="280" w:after="280"/>
    </w:pPr>
    <w:rPr>
      <w:rFonts w:eastAsia="Times New Roman" w:cs="Times New Roman"/>
      <w:lang w:val="pl-PL" w:eastAsia="ar-SA" w:bidi="ar-SA"/>
    </w:rPr>
  </w:style>
  <w:style w:type="character" w:customStyle="1" w:styleId="hpsatn">
    <w:name w:val="hps atn"/>
    <w:basedOn w:val="Standardnpsmoodstavce"/>
    <w:rsid w:val="00587867"/>
  </w:style>
  <w:style w:type="character" w:styleId="Siln">
    <w:name w:val="Strong"/>
    <w:qFormat/>
    <w:rsid w:val="00527E78"/>
    <w:rPr>
      <w:b/>
      <w:bCs/>
    </w:rPr>
  </w:style>
  <w:style w:type="character" w:customStyle="1" w:styleId="apple-converted-space">
    <w:name w:val="apple-converted-space"/>
    <w:basedOn w:val="Standardnpsmoodstavce"/>
    <w:rsid w:val="00527E78"/>
  </w:style>
  <w:style w:type="character" w:customStyle="1" w:styleId="Isabela">
    <w:name w:val="Isabela"/>
    <w:semiHidden/>
    <w:rsid w:val="001D7843"/>
    <w:rPr>
      <w:rFonts w:ascii="Arial" w:hAnsi="Arial" w:cs="Arial"/>
      <w:color w:val="000080"/>
      <w:sz w:val="20"/>
      <w:szCs w:val="20"/>
    </w:rPr>
  </w:style>
  <w:style w:type="paragraph" w:styleId="Zkladntextodsazen2">
    <w:name w:val="Body Text Indent 2"/>
    <w:basedOn w:val="Normln"/>
    <w:rsid w:val="00551797"/>
    <w:pPr>
      <w:spacing w:after="120" w:line="480" w:lineRule="auto"/>
      <w:ind w:left="283"/>
    </w:pPr>
  </w:style>
  <w:style w:type="paragraph" w:styleId="Rozloendokumentu">
    <w:name w:val="Document Map"/>
    <w:basedOn w:val="Normln"/>
    <w:semiHidden/>
    <w:rsid w:val="00DA215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tn">
    <w:name w:val="atn"/>
    <w:rsid w:val="007E73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rFonts w:eastAsia="SimSun" w:cs="Mangal"/>
      <w:kern w:val="1"/>
      <w:sz w:val="24"/>
      <w:szCs w:val="24"/>
      <w:lang w:val="en-GB" w:eastAsia="hi-IN" w:bidi="hi-IN"/>
    </w:rPr>
  </w:style>
  <w:style w:type="character" w:default="1" w:styleId="Standardnpsmoodstavce">
    <w:name w:val="Default Paragraph Font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omylnaczcionkaakapitu3">
    <w:name w:val="Domyślna czcionka akapitu3"/>
  </w:style>
  <w:style w:type="character" w:customStyle="1" w:styleId="Absatz-Standardschriftart">
    <w:name w:val="Absatz-Standardschriftart"/>
  </w:style>
  <w:style w:type="character" w:customStyle="1" w:styleId="Domylnaczcionkaakapitu2">
    <w:name w:val="Domyślna czcionka akapitu2"/>
  </w:style>
  <w:style w:type="character" w:customStyle="1" w:styleId="WW-Absatz-Standardschriftart">
    <w:name w:val="WW-Absatz-Standardschriftart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TekstdymkaZnak1">
    <w:name w:val="Tekst dymka Znak1"/>
    <w:rPr>
      <w:rFonts w:ascii="Tahoma" w:eastAsia="SimSun" w:hAnsi="Tahoma" w:cs="Mangal"/>
      <w:kern w:val="1"/>
      <w:sz w:val="16"/>
      <w:szCs w:val="14"/>
      <w:lang w:val="en-GB" w:eastAsia="hi-IN" w:bidi="hi-IN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eastAsia="SimSun" w:cs="Mangal"/>
      <w:kern w:val="1"/>
      <w:szCs w:val="18"/>
      <w:lang w:val="en-GB" w:eastAsia="hi-IN" w:bidi="hi-IN"/>
    </w:rPr>
  </w:style>
  <w:style w:type="character" w:customStyle="1" w:styleId="TematkomentarzaZnak1">
    <w:name w:val="Temat komentarza Znak1"/>
    <w:rPr>
      <w:rFonts w:eastAsia="SimSun" w:cs="Mangal"/>
      <w:b/>
      <w:bCs/>
      <w:kern w:val="1"/>
      <w:szCs w:val="18"/>
      <w:lang w:val="en-GB" w:eastAsia="hi-IN" w:bidi="hi-IN"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ekstprzypisukocowegoZnak">
    <w:name w:val="Tekst przypisu końcowego Znak"/>
    <w:rPr>
      <w:rFonts w:eastAsia="SimSun" w:cs="Mangal"/>
      <w:kern w:val="1"/>
      <w:szCs w:val="18"/>
      <w:lang w:val="en-GB" w:eastAsia="hi-IN" w:bidi="hi-IN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PlandokumentuZnak">
    <w:name w:val="Plan dokumentu Znak"/>
    <w:rPr>
      <w:rFonts w:ascii="Tahoma" w:eastAsia="SimSun" w:hAnsi="Tahoma" w:cs="Mangal"/>
      <w:kern w:val="1"/>
      <w:sz w:val="16"/>
      <w:szCs w:val="14"/>
      <w:lang w:val="en-GB" w:eastAsia="hi-IN" w:bidi="hi-IN"/>
    </w:rPr>
  </w:style>
  <w:style w:type="character" w:customStyle="1" w:styleId="hps">
    <w:name w:val="hps"/>
    <w:basedOn w:val="Domylnaczcionkaakapitu3"/>
  </w:style>
  <w:style w:type="paragraph" w:customStyle="1" w:styleId="Nagwek3">
    <w:name w:val="Nagłówek3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dpis3">
    <w:name w:val="Podpis3"/>
    <w:basedOn w:val="Normln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ln"/>
    <w:pPr>
      <w:suppressLineNumbers/>
    </w:pPr>
  </w:style>
  <w:style w:type="paragraph" w:customStyle="1" w:styleId="Nagwek2">
    <w:name w:val="Nagłówek2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ln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Nagwek1">
    <w:name w:val="Nagłówek1"/>
    <w:basedOn w:val="Normln"/>
    <w:next w:val="Zkladntext"/>
    <w:pPr>
      <w:keepNext/>
      <w:spacing w:before="240" w:line="100" w:lineRule="atLeast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ln"/>
    <w:pPr>
      <w:suppressLineNumbers/>
      <w:spacing w:before="120" w:after="120"/>
    </w:pPr>
    <w:rPr>
      <w:i/>
      <w:iCs/>
    </w:rPr>
  </w:style>
  <w:style w:type="paragraph" w:styleId="Zpat">
    <w:name w:val="footer"/>
    <w:basedOn w:val="Normln"/>
    <w:pPr>
      <w:suppressLineNumbers/>
      <w:spacing w:line="100" w:lineRule="atLeast"/>
    </w:pPr>
  </w:style>
  <w:style w:type="paragraph" w:customStyle="1" w:styleId="Tekstdymka1">
    <w:name w:val="Tekst dymka1"/>
    <w:basedOn w:val="Normln"/>
    <w:pPr>
      <w:spacing w:line="100" w:lineRule="atLeast"/>
    </w:pPr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ln"/>
    <w:pPr>
      <w:spacing w:line="100" w:lineRule="atLeast"/>
    </w:pPr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styleId="Zhlav">
    <w:name w:val="header"/>
    <w:basedOn w:val="Normln"/>
    <w:pPr>
      <w:suppressLineNumbers/>
    </w:pPr>
  </w:style>
  <w:style w:type="paragraph" w:styleId="Textbubliny">
    <w:name w:val="Balloon Text"/>
    <w:basedOn w:val="Normln"/>
    <w:rPr>
      <w:rFonts w:ascii="Tahoma" w:hAnsi="Tahoma"/>
      <w:sz w:val="16"/>
      <w:szCs w:val="14"/>
    </w:rPr>
  </w:style>
  <w:style w:type="paragraph" w:customStyle="1" w:styleId="Tekstkomentarza2">
    <w:name w:val="Tekst komentarza2"/>
    <w:basedOn w:val="Normln"/>
    <w:rPr>
      <w:sz w:val="20"/>
      <w:szCs w:val="18"/>
    </w:rPr>
  </w:style>
  <w:style w:type="paragraph" w:styleId="Pedmtkomente">
    <w:name w:val="annotation subject"/>
    <w:basedOn w:val="Tekstkomentarza2"/>
    <w:next w:val="Tekstkomentarza2"/>
    <w:rPr>
      <w:b/>
      <w:bCs/>
    </w:rPr>
  </w:style>
  <w:style w:type="paragraph" w:styleId="Textpoznpodarou">
    <w:name w:val="footnote text"/>
    <w:basedOn w:val="Normln"/>
    <w:rPr>
      <w:sz w:val="20"/>
      <w:szCs w:val="20"/>
    </w:rPr>
  </w:style>
  <w:style w:type="paragraph" w:styleId="Textvysvtlivek">
    <w:name w:val="endnote text"/>
    <w:basedOn w:val="Normln"/>
    <w:rPr>
      <w:sz w:val="20"/>
      <w:szCs w:val="18"/>
    </w:rPr>
  </w:style>
  <w:style w:type="paragraph" w:customStyle="1" w:styleId="Plandokumentu1">
    <w:name w:val="Plan dokumentu1"/>
    <w:basedOn w:val="Normln"/>
    <w:rPr>
      <w:rFonts w:ascii="Tahoma" w:hAnsi="Tahoma"/>
      <w:sz w:val="16"/>
      <w:szCs w:val="14"/>
    </w:rPr>
  </w:style>
  <w:style w:type="paragraph" w:styleId="Normlnweb">
    <w:name w:val="Normal (Web)"/>
    <w:basedOn w:val="Normln"/>
    <w:pPr>
      <w:suppressAutoHyphens w:val="0"/>
      <w:spacing w:before="280" w:after="280"/>
    </w:pPr>
    <w:rPr>
      <w:rFonts w:eastAsia="Times New Roman" w:cs="Times New Roman"/>
      <w:lang w:val="pl-PL" w:eastAsia="ar-SA" w:bidi="ar-SA"/>
    </w:rPr>
  </w:style>
  <w:style w:type="character" w:customStyle="1" w:styleId="hpsatn">
    <w:name w:val="hps atn"/>
    <w:basedOn w:val="Standardnpsmoodstavce"/>
    <w:rsid w:val="00587867"/>
  </w:style>
  <w:style w:type="character" w:styleId="Siln">
    <w:name w:val="Strong"/>
    <w:qFormat/>
    <w:rsid w:val="00527E78"/>
    <w:rPr>
      <w:b/>
      <w:bCs/>
    </w:rPr>
  </w:style>
  <w:style w:type="character" w:customStyle="1" w:styleId="apple-converted-space">
    <w:name w:val="apple-converted-space"/>
    <w:basedOn w:val="Standardnpsmoodstavce"/>
    <w:rsid w:val="00527E78"/>
  </w:style>
  <w:style w:type="character" w:customStyle="1" w:styleId="Isabela">
    <w:name w:val="Isabela"/>
    <w:semiHidden/>
    <w:rsid w:val="001D7843"/>
    <w:rPr>
      <w:rFonts w:ascii="Arial" w:hAnsi="Arial" w:cs="Arial"/>
      <w:color w:val="000080"/>
      <w:sz w:val="20"/>
      <w:szCs w:val="20"/>
    </w:rPr>
  </w:style>
  <w:style w:type="paragraph" w:styleId="Zkladntextodsazen2">
    <w:name w:val="Body Text Indent 2"/>
    <w:basedOn w:val="Normln"/>
    <w:rsid w:val="00551797"/>
    <w:pPr>
      <w:spacing w:after="120" w:line="480" w:lineRule="auto"/>
      <w:ind w:left="283"/>
    </w:pPr>
  </w:style>
  <w:style w:type="paragraph" w:styleId="Rozloendokumentu">
    <w:name w:val="Document Map"/>
    <w:basedOn w:val="Normln"/>
    <w:semiHidden/>
    <w:rsid w:val="00DA215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tn">
    <w:name w:val="atn"/>
    <w:rsid w:val="007E7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7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3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9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25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06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6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.gemius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z.gemius.com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Pajon\AppData\Local\Microsoft\Windows\Temporary%20Internet%20Files\Content.Outlook\AppData\Local\Microsoft\Windows\Temporary%20Internet%20Files\Content.Outlook\13-05-XX%20Demografie\www.gemiusinfo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B1D10-6880-401E-9EFB-A54FCF425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973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Informacja prasowa</vt:lpstr>
    </vt:vector>
  </TitlesOfParts>
  <Company/>
  <LinksUpToDate>false</LinksUpToDate>
  <CharactersWithSpaces>6703</CharactersWithSpaces>
  <SharedDoc>false</SharedDoc>
  <HLinks>
    <vt:vector size="18" baseType="variant">
      <vt:variant>
        <vt:i4>1507348</vt:i4>
      </vt:variant>
      <vt:variant>
        <vt:i4>6</vt:i4>
      </vt:variant>
      <vt:variant>
        <vt:i4>0</vt:i4>
      </vt:variant>
      <vt:variant>
        <vt:i4>5</vt:i4>
      </vt:variant>
      <vt:variant>
        <vt:lpwstr>http://www.cz.gemius.com/</vt:lpwstr>
      </vt:variant>
      <vt:variant>
        <vt:lpwstr/>
      </vt:variant>
      <vt:variant>
        <vt:i4>1900561</vt:i4>
      </vt:variant>
      <vt:variant>
        <vt:i4>3</vt:i4>
      </vt:variant>
      <vt:variant>
        <vt:i4>0</vt:i4>
      </vt:variant>
      <vt:variant>
        <vt:i4>5</vt:i4>
      </vt:variant>
      <vt:variant>
        <vt:lpwstr>../AppData/Local/Microsoft/Windows/Temporary Internet Files/Content.Outlook/13-05-XX Demografie/www.gemiusinfo.cz</vt:lpwstr>
      </vt:variant>
      <vt:variant>
        <vt:lpwstr/>
      </vt:variant>
      <vt:variant>
        <vt:i4>1507348</vt:i4>
      </vt:variant>
      <vt:variant>
        <vt:i4>0</vt:i4>
      </vt:variant>
      <vt:variant>
        <vt:i4>0</vt:i4>
      </vt:variant>
      <vt:variant>
        <vt:i4>5</vt:i4>
      </vt:variant>
      <vt:variant>
        <vt:lpwstr>http://www.cz.gemius.com/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prasowa</dc:title>
  <dc:subject>Raport e-commerce 2011</dc:subject>
  <dc:creator>Gemius</dc:creator>
  <cp:lastModifiedBy>Pavel </cp:lastModifiedBy>
  <cp:revision>2</cp:revision>
  <cp:lastPrinted>2012-02-06T11:53:00Z</cp:lastPrinted>
  <dcterms:created xsi:type="dcterms:W3CDTF">2013-08-28T10:37:00Z</dcterms:created>
  <dcterms:modified xsi:type="dcterms:W3CDTF">2013-08-28T10:37:00Z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