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4A" w:rsidRDefault="00110AA4">
      <w:pPr>
        <w:tabs>
          <w:tab w:val="left" w:pos="1380"/>
        </w:tabs>
        <w:rPr>
          <w:rFonts w:ascii="Times New Roman" w:hAnsi="Times New Roman"/>
          <w:b/>
          <w:sz w:val="24"/>
          <w:szCs w:val="24"/>
        </w:rPr>
      </w:pPr>
      <w:r>
        <w:rPr>
          <w:rFonts w:ascii="Times New Roman" w:hAnsi="Times New Roman"/>
          <w:b/>
          <w:sz w:val="24"/>
          <w:szCs w:val="24"/>
        </w:rPr>
        <w:t>Press Release</w:t>
      </w:r>
    </w:p>
    <w:p w:rsidR="0019424A" w:rsidRDefault="0019424A">
      <w:pPr>
        <w:tabs>
          <w:tab w:val="left" w:pos="1380"/>
        </w:tabs>
        <w:rPr>
          <w:rFonts w:ascii="Times New Roman" w:hAnsi="Times New Roman"/>
          <w:b/>
          <w:sz w:val="24"/>
          <w:szCs w:val="24"/>
        </w:rPr>
      </w:pPr>
    </w:p>
    <w:p w:rsidR="0019424A" w:rsidRDefault="00110AA4">
      <w:pPr>
        <w:tabs>
          <w:tab w:val="left" w:pos="1380"/>
        </w:tabs>
        <w:rPr>
          <w:rFonts w:ascii="Times New Roman" w:hAnsi="Times New Roman"/>
          <w:sz w:val="24"/>
          <w:szCs w:val="24"/>
        </w:rPr>
      </w:pPr>
      <w:r>
        <w:rPr>
          <w:rFonts w:ascii="Times New Roman" w:hAnsi="Times New Roman"/>
          <w:sz w:val="24"/>
          <w:szCs w:val="24"/>
        </w:rPr>
        <w:t xml:space="preserve">PRAGUE, 1 March 2012 - </w:t>
      </w:r>
      <w:r>
        <w:rPr>
          <w:rFonts w:ascii="Times New Roman" w:hAnsi="Times New Roman"/>
          <w:b/>
          <w:sz w:val="24"/>
          <w:szCs w:val="24"/>
        </w:rPr>
        <w:t xml:space="preserve">Internet Advertising to Keep on Growing in 2012  </w:t>
      </w:r>
    </w:p>
    <w:p w:rsidR="0019424A" w:rsidRDefault="0019424A">
      <w:pPr>
        <w:tabs>
          <w:tab w:val="left" w:pos="1380"/>
        </w:tabs>
        <w:rPr>
          <w:rFonts w:ascii="Times New Roman" w:hAnsi="Times New Roman"/>
          <w:sz w:val="24"/>
          <w:szCs w:val="24"/>
        </w:rPr>
      </w:pPr>
    </w:p>
    <w:p w:rsidR="0019424A" w:rsidRDefault="00110AA4">
      <w:pPr>
        <w:tabs>
          <w:tab w:val="left" w:pos="1380"/>
        </w:tabs>
        <w:jc w:val="both"/>
        <w:rPr>
          <w:rFonts w:ascii="Times New Roman" w:hAnsi="Times New Roman"/>
          <w:sz w:val="24"/>
          <w:szCs w:val="24"/>
        </w:rPr>
      </w:pPr>
      <w:r>
        <w:rPr>
          <w:rFonts w:ascii="Times New Roman" w:hAnsi="Times New Roman"/>
          <w:sz w:val="24"/>
          <w:szCs w:val="24"/>
        </w:rPr>
        <w:tab/>
      </w:r>
    </w:p>
    <w:p w:rsidR="0019424A" w:rsidRDefault="00110AA4">
      <w:pPr>
        <w:tabs>
          <w:tab w:val="left" w:pos="1380"/>
        </w:tabs>
        <w:jc w:val="both"/>
        <w:rPr>
          <w:rFonts w:ascii="Times New Roman" w:hAnsi="Times New Roman"/>
          <w:sz w:val="24"/>
          <w:szCs w:val="24"/>
        </w:rPr>
      </w:pPr>
      <w:r>
        <w:rPr>
          <w:rFonts w:ascii="Times New Roman" w:hAnsi="Times New Roman"/>
          <w:sz w:val="24"/>
          <w:szCs w:val="24"/>
        </w:rPr>
        <w:tab/>
        <w:t xml:space="preserve">Investments in online advertising continued to grow last year, with display and performance-based advertising as the most popular forms again. In 2011 the internet brought in nearly CZK 9 billion in total from domestic advertisers. For 2012 we expect a 15% year-on-year growth. According to an advertising performance survey carried out by the Factum </w:t>
      </w:r>
      <w:proofErr w:type="spellStart"/>
      <w:r>
        <w:rPr>
          <w:rFonts w:ascii="Times New Roman" w:hAnsi="Times New Roman"/>
          <w:sz w:val="24"/>
          <w:szCs w:val="24"/>
        </w:rPr>
        <w:t>Invenio</w:t>
      </w:r>
      <w:proofErr w:type="spellEnd"/>
      <w:r>
        <w:rPr>
          <w:rFonts w:ascii="Times New Roman" w:hAnsi="Times New Roman"/>
          <w:sz w:val="24"/>
          <w:szCs w:val="24"/>
        </w:rPr>
        <w:t xml:space="preserve"> independent research agency for the Association of Internet Advertising (SPIR), the share of the internet as a media type exceeded 14% of the total advertising investments in the Czech Republic in 2011, placing third behind television and press. </w:t>
      </w:r>
    </w:p>
    <w:p w:rsidR="0019424A" w:rsidRDefault="0019424A">
      <w:pPr>
        <w:tabs>
          <w:tab w:val="left" w:pos="1380"/>
        </w:tabs>
        <w:jc w:val="both"/>
        <w:rPr>
          <w:rFonts w:ascii="Times New Roman" w:hAnsi="Times New Roman"/>
          <w:sz w:val="24"/>
          <w:szCs w:val="24"/>
        </w:rPr>
      </w:pPr>
    </w:p>
    <w:p w:rsidR="0019424A" w:rsidRDefault="00110AA4">
      <w:pPr>
        <w:tabs>
          <w:tab w:val="left" w:pos="1380"/>
        </w:tabs>
        <w:jc w:val="both"/>
        <w:rPr>
          <w:rFonts w:ascii="Times New Roman" w:hAnsi="Times New Roman"/>
          <w:sz w:val="24"/>
          <w:szCs w:val="24"/>
        </w:rPr>
      </w:pPr>
      <w:r>
        <w:rPr>
          <w:rFonts w:ascii="Times New Roman" w:hAnsi="Times New Roman"/>
          <w:sz w:val="24"/>
          <w:szCs w:val="24"/>
        </w:rPr>
        <w:tab/>
        <w:t xml:space="preserve">In terms of display advertising, advertisers invested CZK 5 </w:t>
      </w:r>
      <w:proofErr w:type="spellStart"/>
      <w:r>
        <w:rPr>
          <w:rFonts w:ascii="Times New Roman" w:hAnsi="Times New Roman"/>
          <w:sz w:val="24"/>
          <w:szCs w:val="24"/>
        </w:rPr>
        <w:t>billion</w:t>
      </w:r>
      <w:proofErr w:type="spellEnd"/>
      <w:r>
        <w:rPr>
          <w:rFonts w:ascii="Times New Roman" w:hAnsi="Times New Roman"/>
          <w:sz w:val="24"/>
          <w:szCs w:val="24"/>
        </w:rPr>
        <w:t xml:space="preserve"> in </w:t>
      </w:r>
      <w:proofErr w:type="spellStart"/>
      <w:r w:rsidR="007B1C0D">
        <w:rPr>
          <w:rFonts w:ascii="Times New Roman" w:hAnsi="Times New Roman"/>
          <w:sz w:val="24"/>
          <w:szCs w:val="24"/>
        </w:rPr>
        <w:t>ratecard</w:t>
      </w:r>
      <w:proofErr w:type="spellEnd"/>
      <w:r>
        <w:rPr>
          <w:rFonts w:ascii="Times New Roman" w:hAnsi="Times New Roman"/>
          <w:sz w:val="24"/>
          <w:szCs w:val="24"/>
        </w:rPr>
        <w:t xml:space="preserve"> </w:t>
      </w:r>
      <w:proofErr w:type="spellStart"/>
      <w:r>
        <w:rPr>
          <w:rFonts w:ascii="Times New Roman" w:hAnsi="Times New Roman"/>
          <w:sz w:val="24"/>
          <w:szCs w:val="24"/>
        </w:rPr>
        <w:t>prices</w:t>
      </w:r>
      <w:proofErr w:type="spellEnd"/>
      <w:r>
        <w:rPr>
          <w:rFonts w:ascii="Times New Roman" w:hAnsi="Times New Roman"/>
          <w:sz w:val="24"/>
          <w:szCs w:val="24"/>
        </w:rPr>
        <w:t xml:space="preserve"> on </w:t>
      </w:r>
      <w:proofErr w:type="spellStart"/>
      <w:r>
        <w:rPr>
          <w:rFonts w:ascii="Times New Roman" w:hAnsi="Times New Roman"/>
          <w:sz w:val="24"/>
          <w:szCs w:val="24"/>
        </w:rPr>
        <w:t>the</w:t>
      </w:r>
      <w:proofErr w:type="spellEnd"/>
      <w:r>
        <w:rPr>
          <w:rFonts w:ascii="Times New Roman" w:hAnsi="Times New Roman"/>
          <w:sz w:val="24"/>
          <w:szCs w:val="24"/>
        </w:rPr>
        <w:t xml:space="preserve"> internet last year. In PPC systems (pay-per-click, performance-based advertising), advertisers spent CZK 2.67 billion in net </w:t>
      </w:r>
      <w:proofErr w:type="spellStart"/>
      <w:r>
        <w:rPr>
          <w:rFonts w:ascii="Times New Roman" w:hAnsi="Times New Roman"/>
          <w:sz w:val="24"/>
          <w:szCs w:val="24"/>
        </w:rPr>
        <w:t>net</w:t>
      </w:r>
      <w:proofErr w:type="spellEnd"/>
      <w:r>
        <w:rPr>
          <w:rFonts w:ascii="Times New Roman" w:hAnsi="Times New Roman"/>
          <w:sz w:val="24"/>
          <w:szCs w:val="24"/>
        </w:rPr>
        <w:t xml:space="preserve"> prices. Of the other monitored types of advertising, CZK 920 million went to catalogue and classified advertising and CZK 314 million to video advertising. </w:t>
      </w:r>
    </w:p>
    <w:p w:rsidR="0019424A" w:rsidRDefault="0019424A">
      <w:pPr>
        <w:tabs>
          <w:tab w:val="left" w:pos="1380"/>
        </w:tabs>
        <w:jc w:val="both"/>
        <w:rPr>
          <w:rFonts w:ascii="Times New Roman" w:hAnsi="Times New Roman"/>
          <w:sz w:val="24"/>
          <w:szCs w:val="24"/>
        </w:rPr>
      </w:pPr>
    </w:p>
    <w:p w:rsidR="0019424A" w:rsidRDefault="00110AA4">
      <w:pPr>
        <w:ind w:firstLine="720"/>
        <w:jc w:val="both"/>
        <w:rPr>
          <w:rFonts w:ascii="Times New Roman" w:hAnsi="Times New Roman"/>
          <w:sz w:val="24"/>
          <w:szCs w:val="24"/>
        </w:rPr>
      </w:pPr>
      <w:r>
        <w:rPr>
          <w:rFonts w:ascii="Times New Roman" w:hAnsi="Times New Roman"/>
          <w:sz w:val="24"/>
          <w:szCs w:val="24"/>
        </w:rPr>
        <w:t xml:space="preserve">         "The latest data confirm that the internet keeps strengthening its position, taking up more and more of the overall advertising. We expect the trend of growing investments in online advertising to continue in the coming years, too," says SPIR President Jan </w:t>
      </w:r>
      <w:proofErr w:type="spellStart"/>
      <w:r>
        <w:rPr>
          <w:rFonts w:ascii="Times New Roman" w:hAnsi="Times New Roman"/>
          <w:sz w:val="24"/>
          <w:szCs w:val="24"/>
        </w:rPr>
        <w:t>Simkanič</w:t>
      </w:r>
      <w:proofErr w:type="spellEnd"/>
      <w:r>
        <w:rPr>
          <w:rFonts w:ascii="Times New Roman" w:hAnsi="Times New Roman"/>
          <w:sz w:val="24"/>
          <w:szCs w:val="24"/>
        </w:rPr>
        <w:t xml:space="preserve"> in response to the survey results.</w:t>
      </w:r>
    </w:p>
    <w:p w:rsidR="0019424A" w:rsidRDefault="0019424A">
      <w:pPr>
        <w:tabs>
          <w:tab w:val="left" w:pos="1380"/>
        </w:tabs>
        <w:jc w:val="both"/>
        <w:rPr>
          <w:rFonts w:ascii="Times New Roman" w:hAnsi="Times New Roman"/>
          <w:sz w:val="24"/>
          <w:szCs w:val="24"/>
        </w:rPr>
      </w:pPr>
    </w:p>
    <w:p w:rsidR="0019424A" w:rsidRDefault="00110AA4">
      <w:pPr>
        <w:tabs>
          <w:tab w:val="left" w:pos="1380"/>
        </w:tabs>
        <w:jc w:val="both"/>
        <w:rPr>
          <w:rFonts w:ascii="Times New Roman" w:hAnsi="Times New Roman"/>
          <w:sz w:val="24"/>
          <w:szCs w:val="24"/>
        </w:rPr>
      </w:pPr>
      <w:r>
        <w:rPr>
          <w:rFonts w:ascii="Times New Roman" w:hAnsi="Times New Roman"/>
          <w:sz w:val="24"/>
          <w:szCs w:val="24"/>
        </w:rPr>
        <w:tab/>
        <w:t xml:space="preserve">The majority (56%) is display advertising, which ranks first again with advertisers, at least </w:t>
      </w:r>
      <w:proofErr w:type="spellStart"/>
      <w:r>
        <w:rPr>
          <w:rFonts w:ascii="Times New Roman" w:hAnsi="Times New Roman"/>
          <w:sz w:val="24"/>
          <w:szCs w:val="24"/>
        </w:rPr>
        <w:t>judging</w:t>
      </w:r>
      <w:proofErr w:type="spellEnd"/>
      <w:r>
        <w:rPr>
          <w:rFonts w:ascii="Times New Roman" w:hAnsi="Times New Roman"/>
          <w:sz w:val="24"/>
          <w:szCs w:val="24"/>
        </w:rPr>
        <w:t xml:space="preserve"> by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sidR="007B1C0D">
        <w:rPr>
          <w:rFonts w:ascii="Times New Roman" w:hAnsi="Times New Roman"/>
          <w:sz w:val="24"/>
          <w:szCs w:val="24"/>
        </w:rPr>
        <w:t>ratecard</w:t>
      </w:r>
      <w:proofErr w:type="spellEnd"/>
      <w:r>
        <w:rPr>
          <w:rFonts w:ascii="Times New Roman" w:hAnsi="Times New Roman"/>
          <w:sz w:val="24"/>
          <w:szCs w:val="24"/>
        </w:rPr>
        <w:t xml:space="preserve"> </w:t>
      </w:r>
      <w:proofErr w:type="spellStart"/>
      <w:r>
        <w:rPr>
          <w:rFonts w:ascii="Times New Roman" w:hAnsi="Times New Roman"/>
          <w:sz w:val="24"/>
          <w:szCs w:val="24"/>
        </w:rPr>
        <w:t>prices</w:t>
      </w:r>
      <w:proofErr w:type="spellEnd"/>
      <w:r>
        <w:rPr>
          <w:rFonts w:ascii="Times New Roman" w:hAnsi="Times New Roman"/>
          <w:sz w:val="24"/>
          <w:szCs w:val="24"/>
        </w:rPr>
        <w:t>. According to SPIR estimates, this year will see no major change in the share of the individual forms of advertising. The absolute performance of the individual types of advertising and their distribution in 2011, including this year estimate, are described in Table 1 and Chart 1.</w:t>
      </w:r>
    </w:p>
    <w:p w:rsidR="0019424A" w:rsidRDefault="0019424A">
      <w:pPr>
        <w:jc w:val="both"/>
        <w:rPr>
          <w:rFonts w:ascii="Times New Roman" w:hAnsi="Times New Roman"/>
          <w:sz w:val="24"/>
          <w:szCs w:val="24"/>
        </w:rPr>
      </w:pPr>
    </w:p>
    <w:p w:rsidR="0019424A" w:rsidRDefault="0019424A">
      <w:pPr>
        <w:jc w:val="both"/>
        <w:rPr>
          <w:rFonts w:ascii="Times New Roman" w:hAnsi="Times New Roman"/>
          <w:sz w:val="24"/>
          <w:szCs w:val="24"/>
        </w:rPr>
      </w:pPr>
    </w:p>
    <w:p w:rsidR="0019424A" w:rsidRDefault="00110AA4">
      <w:pPr>
        <w:pStyle w:val="Prosttext"/>
        <w:rPr>
          <w:rFonts w:ascii="Times New Roman" w:hAnsi="Times New Roman"/>
          <w:b/>
          <w:sz w:val="24"/>
          <w:szCs w:val="24"/>
        </w:rPr>
      </w:pPr>
      <w:r>
        <w:rPr>
          <w:rFonts w:ascii="Times New Roman" w:hAnsi="Times New Roman"/>
          <w:sz w:val="24"/>
          <w:szCs w:val="24"/>
          <w:lang w:eastAsia="en-GB"/>
        </w:rPr>
        <w:t xml:space="preserve">Table 1: </w:t>
      </w:r>
      <w:r>
        <w:rPr>
          <w:rFonts w:ascii="Times New Roman" w:hAnsi="Times New Roman"/>
          <w:b/>
          <w:sz w:val="24"/>
          <w:szCs w:val="24"/>
          <w:lang w:eastAsia="en-GB"/>
        </w:rPr>
        <w:t>Share of the individual forms of online advertising in 2011 and the estimate for 2012</w:t>
      </w:r>
    </w:p>
    <w:p w:rsidR="0019424A" w:rsidRDefault="0019424A">
      <w:pPr>
        <w:pStyle w:val="Prosttext"/>
        <w:rPr>
          <w:rFonts w:ascii="Times New Roman" w:hAnsi="Times New Roman"/>
          <w:b/>
          <w:sz w:val="24"/>
          <w:szCs w:val="24"/>
        </w:rPr>
      </w:pPr>
    </w:p>
    <w:tbl>
      <w:tblPr>
        <w:tblW w:w="0" w:type="auto"/>
        <w:tblInd w:w="720" w:type="dxa"/>
        <w:tblCellMar>
          <w:left w:w="70" w:type="dxa"/>
          <w:right w:w="70" w:type="dxa"/>
        </w:tblCellMar>
        <w:tblLook w:val="04A0" w:firstRow="1" w:lastRow="0" w:firstColumn="1" w:lastColumn="0" w:noHBand="0" w:noVBand="1"/>
      </w:tblPr>
      <w:tblGrid>
        <w:gridCol w:w="2998"/>
        <w:gridCol w:w="1721"/>
        <w:gridCol w:w="1917"/>
        <w:gridCol w:w="2074"/>
      </w:tblGrid>
      <w:tr w:rsidR="00D526D0" w:rsidRPr="004B1095" w:rsidTr="00D526D0">
        <w:trPr>
          <w:trHeight w:val="499"/>
        </w:trPr>
        <w:tc>
          <w:tcPr>
            <w:tcW w:w="0" w:type="auto"/>
            <w:tcBorders>
              <w:top w:val="nil"/>
              <w:left w:val="nil"/>
              <w:bottom w:val="nil"/>
              <w:right w:val="nil"/>
            </w:tcBorders>
            <w:shd w:val="clear" w:color="auto" w:fill="auto"/>
            <w:noWrap/>
            <w:vAlign w:val="center"/>
            <w:hideMark/>
          </w:tcPr>
          <w:p w:rsidR="0019424A" w:rsidRDefault="0019424A">
            <w:pPr>
              <w:rPr>
                <w:rFonts w:ascii="Arial" w:hAnsi="Arial" w:cs="Arial"/>
              </w:rPr>
            </w:pPr>
          </w:p>
        </w:tc>
        <w:tc>
          <w:tcPr>
            <w:tcW w:w="0" w:type="auto"/>
            <w:tcBorders>
              <w:top w:val="single" w:sz="4" w:space="0" w:color="808080"/>
              <w:left w:val="single" w:sz="4" w:space="0" w:color="808080"/>
              <w:bottom w:val="nil"/>
              <w:right w:val="single" w:sz="4" w:space="0" w:color="808080"/>
            </w:tcBorders>
            <w:shd w:val="clear" w:color="000000" w:fill="59C0F8"/>
            <w:vAlign w:val="center"/>
            <w:hideMark/>
          </w:tcPr>
          <w:p w:rsidR="0019424A" w:rsidRDefault="00110AA4">
            <w:pPr>
              <w:jc w:val="center"/>
              <w:rPr>
                <w:rFonts w:ascii="Verdana" w:hAnsi="Verdana" w:cs="Arial"/>
                <w:b/>
                <w:bCs/>
                <w:color w:val="FFFFFF"/>
                <w:sz w:val="18"/>
                <w:szCs w:val="18"/>
              </w:rPr>
            </w:pPr>
            <w:r>
              <w:rPr>
                <w:rFonts w:ascii="Verdana" w:hAnsi="Verdana" w:cs="Arial"/>
                <w:b/>
                <w:bCs/>
                <w:color w:val="FFFFFF"/>
                <w:sz w:val="18"/>
                <w:szCs w:val="18"/>
              </w:rPr>
              <w:t>2011</w:t>
            </w:r>
          </w:p>
        </w:tc>
        <w:tc>
          <w:tcPr>
            <w:tcW w:w="0" w:type="auto"/>
            <w:tcBorders>
              <w:top w:val="single" w:sz="4" w:space="0" w:color="808080"/>
              <w:left w:val="nil"/>
              <w:bottom w:val="nil"/>
              <w:right w:val="single" w:sz="4" w:space="0" w:color="808080"/>
            </w:tcBorders>
            <w:shd w:val="clear" w:color="000000" w:fill="59C0F8"/>
            <w:vAlign w:val="center"/>
            <w:hideMark/>
          </w:tcPr>
          <w:p w:rsidR="0019424A" w:rsidRDefault="00110AA4">
            <w:pPr>
              <w:jc w:val="center"/>
              <w:rPr>
                <w:rFonts w:ascii="Verdana" w:hAnsi="Verdana" w:cs="Arial"/>
                <w:b/>
                <w:bCs/>
                <w:color w:val="FFFFFF"/>
                <w:sz w:val="18"/>
                <w:szCs w:val="18"/>
              </w:rPr>
            </w:pPr>
            <w:r>
              <w:rPr>
                <w:rFonts w:ascii="Verdana" w:hAnsi="Verdana" w:cs="Arial"/>
                <w:b/>
                <w:bCs/>
                <w:color w:val="FFFFFF"/>
                <w:sz w:val="18"/>
                <w:szCs w:val="18"/>
              </w:rPr>
              <w:t>2012 (estimated)</w:t>
            </w:r>
          </w:p>
        </w:tc>
        <w:tc>
          <w:tcPr>
            <w:tcW w:w="0" w:type="auto"/>
            <w:tcBorders>
              <w:top w:val="single" w:sz="4" w:space="0" w:color="808080"/>
              <w:left w:val="nil"/>
              <w:bottom w:val="nil"/>
              <w:right w:val="single" w:sz="4" w:space="0" w:color="808080"/>
            </w:tcBorders>
            <w:shd w:val="clear" w:color="000000" w:fill="59C0F8"/>
            <w:vAlign w:val="center"/>
            <w:hideMark/>
          </w:tcPr>
          <w:p w:rsidR="0019424A" w:rsidRDefault="00110AA4">
            <w:pPr>
              <w:jc w:val="center"/>
              <w:rPr>
                <w:rFonts w:ascii="Verdana" w:hAnsi="Verdana" w:cs="Arial"/>
                <w:b/>
                <w:bCs/>
                <w:color w:val="FFFFFF"/>
                <w:sz w:val="18"/>
                <w:szCs w:val="18"/>
              </w:rPr>
            </w:pPr>
            <w:r>
              <w:rPr>
                <w:rFonts w:ascii="Verdana" w:hAnsi="Verdana" w:cs="Arial"/>
                <w:b/>
                <w:bCs/>
                <w:color w:val="FFFFFF"/>
                <w:sz w:val="18"/>
                <w:szCs w:val="18"/>
              </w:rPr>
              <w:t xml:space="preserve">Estimate of growth </w:t>
            </w:r>
          </w:p>
          <w:p w:rsidR="0019424A" w:rsidRDefault="00110AA4">
            <w:pPr>
              <w:jc w:val="center"/>
              <w:rPr>
                <w:rFonts w:ascii="Verdana" w:hAnsi="Verdana" w:cs="Arial"/>
                <w:b/>
                <w:bCs/>
                <w:color w:val="FFFFFF"/>
                <w:sz w:val="18"/>
                <w:szCs w:val="18"/>
              </w:rPr>
            </w:pPr>
            <w:r>
              <w:rPr>
                <w:rFonts w:ascii="Verdana" w:hAnsi="Verdana" w:cs="Arial"/>
                <w:b/>
                <w:bCs/>
                <w:color w:val="FFFFFF"/>
                <w:sz w:val="18"/>
                <w:szCs w:val="18"/>
              </w:rPr>
              <w:t>2012/2011</w:t>
            </w:r>
          </w:p>
        </w:tc>
      </w:tr>
      <w:tr w:rsidR="00D526D0" w:rsidRPr="004B1095" w:rsidTr="00D526D0">
        <w:trPr>
          <w:trHeight w:val="284"/>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9424A" w:rsidRDefault="00110AA4">
            <w:pPr>
              <w:rPr>
                <w:rFonts w:ascii="Verdana" w:hAnsi="Verdana" w:cs="Arial"/>
                <w:b/>
                <w:bCs/>
                <w:color w:val="000000"/>
                <w:sz w:val="18"/>
                <w:szCs w:val="18"/>
              </w:rPr>
            </w:pPr>
            <w:r>
              <w:rPr>
                <w:rFonts w:ascii="Verdana" w:hAnsi="Verdana" w:cs="Arial"/>
                <w:b/>
                <w:bCs/>
                <w:color w:val="000000"/>
                <w:sz w:val="18"/>
                <w:szCs w:val="18"/>
              </w:rPr>
              <w:t>Standard *</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CZK 4,378,418,000</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CZK 4,769,108,000</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8.9%</w:t>
            </w:r>
          </w:p>
        </w:tc>
      </w:tr>
      <w:tr w:rsidR="00D526D0" w:rsidRPr="004B1095" w:rsidTr="00D526D0">
        <w:trPr>
          <w:trHeight w:val="284"/>
        </w:trPr>
        <w:tc>
          <w:tcPr>
            <w:tcW w:w="0" w:type="auto"/>
            <w:tcBorders>
              <w:top w:val="nil"/>
              <w:left w:val="single" w:sz="4" w:space="0" w:color="808080"/>
              <w:bottom w:val="single" w:sz="4" w:space="0" w:color="808080"/>
              <w:right w:val="single" w:sz="4" w:space="0" w:color="808080"/>
            </w:tcBorders>
            <w:shd w:val="clear" w:color="auto" w:fill="auto"/>
            <w:vAlign w:val="center"/>
            <w:hideMark/>
          </w:tcPr>
          <w:p w:rsidR="0019424A" w:rsidRDefault="00110AA4">
            <w:pPr>
              <w:rPr>
                <w:rFonts w:ascii="Verdana" w:hAnsi="Verdana" w:cs="Arial"/>
                <w:b/>
                <w:bCs/>
                <w:color w:val="000000"/>
                <w:sz w:val="18"/>
                <w:szCs w:val="18"/>
              </w:rPr>
            </w:pPr>
            <w:r>
              <w:rPr>
                <w:rFonts w:ascii="Verdana" w:hAnsi="Verdana" w:cs="Arial"/>
                <w:b/>
                <w:bCs/>
                <w:color w:val="000000"/>
                <w:sz w:val="18"/>
                <w:szCs w:val="18"/>
              </w:rPr>
              <w:t>Non-standard *</w:t>
            </w:r>
          </w:p>
        </w:tc>
        <w:tc>
          <w:tcPr>
            <w:tcW w:w="0" w:type="auto"/>
            <w:tcBorders>
              <w:top w:val="nil"/>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CZK 622,635,000</w:t>
            </w:r>
          </w:p>
        </w:tc>
        <w:tc>
          <w:tcPr>
            <w:tcW w:w="0" w:type="auto"/>
            <w:tcBorders>
              <w:top w:val="nil"/>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CZK 771,889,000</w:t>
            </w:r>
          </w:p>
        </w:tc>
        <w:tc>
          <w:tcPr>
            <w:tcW w:w="0" w:type="auto"/>
            <w:tcBorders>
              <w:top w:val="nil"/>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24.0%</w:t>
            </w:r>
          </w:p>
        </w:tc>
      </w:tr>
      <w:tr w:rsidR="00D526D0" w:rsidRPr="004B1095" w:rsidTr="00D526D0">
        <w:trPr>
          <w:trHeight w:val="284"/>
        </w:trPr>
        <w:tc>
          <w:tcPr>
            <w:tcW w:w="0" w:type="auto"/>
            <w:tcBorders>
              <w:top w:val="nil"/>
              <w:left w:val="single" w:sz="4" w:space="0" w:color="808080"/>
              <w:bottom w:val="single" w:sz="4" w:space="0" w:color="808080"/>
              <w:right w:val="single" w:sz="4" w:space="0" w:color="808080"/>
            </w:tcBorders>
            <w:shd w:val="clear" w:color="auto" w:fill="auto"/>
            <w:vAlign w:val="center"/>
            <w:hideMark/>
          </w:tcPr>
          <w:p w:rsidR="0019424A" w:rsidRDefault="00110AA4">
            <w:pPr>
              <w:rPr>
                <w:rFonts w:ascii="Verdana" w:hAnsi="Verdana" w:cs="Arial"/>
                <w:b/>
                <w:bCs/>
                <w:color w:val="000000"/>
                <w:sz w:val="18"/>
                <w:szCs w:val="18"/>
              </w:rPr>
            </w:pPr>
            <w:r>
              <w:rPr>
                <w:rFonts w:ascii="Verdana" w:hAnsi="Verdana" w:cs="Arial"/>
                <w:b/>
                <w:bCs/>
                <w:color w:val="000000"/>
                <w:sz w:val="18"/>
                <w:szCs w:val="18"/>
              </w:rPr>
              <w:t>Catalogues and classifieds *</w:t>
            </w:r>
          </w:p>
        </w:tc>
        <w:tc>
          <w:tcPr>
            <w:tcW w:w="0" w:type="auto"/>
            <w:tcBorders>
              <w:top w:val="nil"/>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CZK 919,806,000</w:t>
            </w:r>
          </w:p>
        </w:tc>
        <w:tc>
          <w:tcPr>
            <w:tcW w:w="0" w:type="auto"/>
            <w:tcBorders>
              <w:top w:val="nil"/>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CZK 985,408,000</w:t>
            </w:r>
          </w:p>
        </w:tc>
        <w:tc>
          <w:tcPr>
            <w:tcW w:w="0" w:type="auto"/>
            <w:tcBorders>
              <w:top w:val="nil"/>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7.1%</w:t>
            </w:r>
          </w:p>
        </w:tc>
      </w:tr>
      <w:tr w:rsidR="00D526D0" w:rsidRPr="004B1095" w:rsidTr="00D526D0">
        <w:trPr>
          <w:trHeight w:val="284"/>
        </w:trPr>
        <w:tc>
          <w:tcPr>
            <w:tcW w:w="0" w:type="auto"/>
            <w:tcBorders>
              <w:top w:val="nil"/>
              <w:left w:val="single" w:sz="4" w:space="0" w:color="808080"/>
              <w:bottom w:val="single" w:sz="4" w:space="0" w:color="808080"/>
              <w:right w:val="single" w:sz="4" w:space="0" w:color="808080"/>
            </w:tcBorders>
            <w:shd w:val="clear" w:color="auto" w:fill="auto"/>
            <w:vAlign w:val="center"/>
            <w:hideMark/>
          </w:tcPr>
          <w:p w:rsidR="0019424A" w:rsidRDefault="00110AA4">
            <w:pPr>
              <w:rPr>
                <w:rFonts w:ascii="Verdana" w:hAnsi="Verdana" w:cs="Arial"/>
                <w:b/>
                <w:bCs/>
                <w:color w:val="000000"/>
                <w:sz w:val="18"/>
                <w:szCs w:val="18"/>
              </w:rPr>
            </w:pPr>
            <w:r>
              <w:rPr>
                <w:rFonts w:ascii="Verdana" w:hAnsi="Verdana" w:cs="Arial"/>
                <w:b/>
                <w:bCs/>
                <w:color w:val="000000"/>
                <w:sz w:val="18"/>
                <w:szCs w:val="18"/>
              </w:rPr>
              <w:t>Video advertising *</w:t>
            </w:r>
          </w:p>
        </w:tc>
        <w:tc>
          <w:tcPr>
            <w:tcW w:w="0" w:type="auto"/>
            <w:tcBorders>
              <w:top w:val="nil"/>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CZK 313,583,000</w:t>
            </w:r>
          </w:p>
        </w:tc>
        <w:tc>
          <w:tcPr>
            <w:tcW w:w="0" w:type="auto"/>
            <w:tcBorders>
              <w:top w:val="nil"/>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CZK 423,749,000</w:t>
            </w:r>
          </w:p>
        </w:tc>
        <w:tc>
          <w:tcPr>
            <w:tcW w:w="0" w:type="auto"/>
            <w:tcBorders>
              <w:top w:val="nil"/>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35.1%</w:t>
            </w:r>
          </w:p>
        </w:tc>
      </w:tr>
      <w:tr w:rsidR="00D526D0" w:rsidRPr="004B1095" w:rsidTr="00D526D0">
        <w:trPr>
          <w:trHeight w:val="284"/>
        </w:trPr>
        <w:tc>
          <w:tcPr>
            <w:tcW w:w="0" w:type="auto"/>
            <w:tcBorders>
              <w:top w:val="nil"/>
              <w:left w:val="single" w:sz="4" w:space="0" w:color="808080"/>
              <w:bottom w:val="single" w:sz="4" w:space="0" w:color="808080"/>
              <w:right w:val="single" w:sz="4" w:space="0" w:color="808080"/>
            </w:tcBorders>
            <w:shd w:val="clear" w:color="auto" w:fill="auto"/>
            <w:vAlign w:val="center"/>
            <w:hideMark/>
          </w:tcPr>
          <w:p w:rsidR="0019424A" w:rsidRDefault="00110AA4">
            <w:pPr>
              <w:rPr>
                <w:rFonts w:ascii="Verdana" w:hAnsi="Verdana" w:cs="Arial"/>
                <w:b/>
                <w:bCs/>
                <w:color w:val="000000"/>
                <w:sz w:val="18"/>
                <w:szCs w:val="18"/>
              </w:rPr>
            </w:pPr>
            <w:r>
              <w:rPr>
                <w:rFonts w:ascii="Verdana" w:hAnsi="Verdana" w:cs="Arial"/>
                <w:b/>
                <w:bCs/>
                <w:color w:val="000000"/>
                <w:sz w:val="18"/>
                <w:szCs w:val="18"/>
              </w:rPr>
              <w:t>PPC **</w:t>
            </w:r>
          </w:p>
        </w:tc>
        <w:tc>
          <w:tcPr>
            <w:tcW w:w="0" w:type="auto"/>
            <w:tcBorders>
              <w:top w:val="nil"/>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CZK 2,666,027,000</w:t>
            </w:r>
          </w:p>
        </w:tc>
        <w:tc>
          <w:tcPr>
            <w:tcW w:w="0" w:type="auto"/>
            <w:tcBorders>
              <w:top w:val="nil"/>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CZK 3,263,994,000</w:t>
            </w:r>
          </w:p>
        </w:tc>
        <w:tc>
          <w:tcPr>
            <w:tcW w:w="0" w:type="auto"/>
            <w:tcBorders>
              <w:top w:val="nil"/>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22.4%</w:t>
            </w:r>
          </w:p>
        </w:tc>
      </w:tr>
    </w:tbl>
    <w:p w:rsidR="0019424A" w:rsidRDefault="00110AA4">
      <w:pPr>
        <w:pStyle w:val="Prosttext"/>
        <w:ind w:left="720"/>
        <w:rPr>
          <w:rFonts w:ascii="Verdana" w:hAnsi="Verdana"/>
          <w:i/>
          <w:sz w:val="24"/>
          <w:szCs w:val="24"/>
        </w:rPr>
      </w:pPr>
      <w:r>
        <w:rPr>
          <w:rFonts w:ascii="Verdana" w:hAnsi="Verdana"/>
          <w:i/>
          <w:sz w:val="16"/>
          <w:szCs w:val="24"/>
          <w:lang w:eastAsia="en-GB"/>
        </w:rPr>
        <w:t xml:space="preserve">* </w:t>
      </w:r>
      <w:proofErr w:type="spellStart"/>
      <w:r w:rsidR="007B1C0D">
        <w:rPr>
          <w:rFonts w:ascii="Verdana" w:hAnsi="Verdana"/>
          <w:i/>
          <w:sz w:val="16"/>
          <w:szCs w:val="24"/>
          <w:lang w:eastAsia="en-GB"/>
        </w:rPr>
        <w:t>ratecard</w:t>
      </w:r>
      <w:proofErr w:type="spellEnd"/>
      <w:r>
        <w:rPr>
          <w:rFonts w:ascii="Verdana" w:hAnsi="Verdana"/>
          <w:i/>
          <w:sz w:val="16"/>
          <w:szCs w:val="24"/>
          <w:lang w:eastAsia="en-GB"/>
        </w:rPr>
        <w:t xml:space="preserve"> </w:t>
      </w:r>
      <w:proofErr w:type="spellStart"/>
      <w:r>
        <w:rPr>
          <w:rFonts w:ascii="Verdana" w:hAnsi="Verdana"/>
          <w:i/>
          <w:sz w:val="16"/>
          <w:szCs w:val="24"/>
          <w:lang w:eastAsia="en-GB"/>
        </w:rPr>
        <w:t>prices</w:t>
      </w:r>
      <w:proofErr w:type="spellEnd"/>
      <w:r>
        <w:rPr>
          <w:rFonts w:ascii="Verdana" w:hAnsi="Verdana"/>
          <w:i/>
          <w:sz w:val="16"/>
          <w:szCs w:val="24"/>
          <w:lang w:eastAsia="en-GB"/>
        </w:rPr>
        <w:t xml:space="preserve">, ** net </w:t>
      </w:r>
      <w:proofErr w:type="spellStart"/>
      <w:r>
        <w:rPr>
          <w:rFonts w:ascii="Verdana" w:hAnsi="Verdana"/>
          <w:i/>
          <w:sz w:val="16"/>
          <w:szCs w:val="24"/>
          <w:lang w:eastAsia="en-GB"/>
        </w:rPr>
        <w:t>net</w:t>
      </w:r>
      <w:proofErr w:type="spellEnd"/>
      <w:r>
        <w:rPr>
          <w:rFonts w:ascii="Verdana" w:hAnsi="Verdana"/>
          <w:i/>
          <w:sz w:val="16"/>
          <w:szCs w:val="24"/>
          <w:lang w:eastAsia="en-GB"/>
        </w:rPr>
        <w:t xml:space="preserve"> prices, source: SPIR, Factum </w:t>
      </w:r>
      <w:proofErr w:type="spellStart"/>
      <w:r>
        <w:rPr>
          <w:rFonts w:ascii="Verdana" w:hAnsi="Verdana"/>
          <w:i/>
          <w:sz w:val="16"/>
          <w:szCs w:val="24"/>
          <w:lang w:eastAsia="en-GB"/>
        </w:rPr>
        <w:t>Invenio</w:t>
      </w:r>
      <w:proofErr w:type="spellEnd"/>
      <w:r>
        <w:rPr>
          <w:rFonts w:ascii="Verdana" w:hAnsi="Verdana"/>
          <w:i/>
          <w:sz w:val="16"/>
          <w:szCs w:val="24"/>
          <w:lang w:eastAsia="en-GB"/>
        </w:rPr>
        <w:t>, February 2012</w:t>
      </w:r>
      <w:r>
        <w:rPr>
          <w:rFonts w:ascii="Verdana" w:hAnsi="Verdana"/>
          <w:i/>
          <w:sz w:val="24"/>
          <w:szCs w:val="24"/>
          <w:lang w:eastAsia="en-GB"/>
        </w:rPr>
        <w:tab/>
      </w:r>
    </w:p>
    <w:p w:rsidR="0019424A" w:rsidRDefault="00110AA4">
      <w:pPr>
        <w:rPr>
          <w:rFonts w:ascii="Times New Roman" w:hAnsi="Times New Roman"/>
          <w:sz w:val="24"/>
          <w:szCs w:val="24"/>
        </w:rPr>
      </w:pPr>
      <w:r>
        <w:rPr>
          <w:rFonts w:ascii="Times New Roman" w:hAnsi="Times New Roman"/>
          <w:sz w:val="24"/>
          <w:szCs w:val="24"/>
        </w:rPr>
        <w:br w:type="page"/>
      </w:r>
    </w:p>
    <w:p w:rsidR="0019424A" w:rsidRDefault="00110AA4">
      <w:pPr>
        <w:jc w:val="both"/>
        <w:rPr>
          <w:rFonts w:ascii="Times New Roman" w:hAnsi="Times New Roman"/>
          <w:b/>
          <w:sz w:val="24"/>
          <w:szCs w:val="24"/>
        </w:rPr>
      </w:pPr>
      <w:r>
        <w:rPr>
          <w:rFonts w:ascii="Times New Roman" w:hAnsi="Times New Roman"/>
          <w:sz w:val="24"/>
          <w:szCs w:val="24"/>
        </w:rPr>
        <w:lastRenderedPageBreak/>
        <w:t>Chart 1</w:t>
      </w:r>
    </w:p>
    <w:p w:rsidR="005F6C51" w:rsidRDefault="0036672D" w:rsidP="00D73B9C">
      <w:pPr>
        <w:jc w:val="center"/>
        <w:rPr>
          <w:rFonts w:ascii="Times New Roman" w:hAnsi="Times New Roman"/>
          <w:sz w:val="24"/>
          <w:szCs w:val="24"/>
        </w:rPr>
      </w:pPr>
      <w:r>
        <w:rPr>
          <w:rFonts w:ascii="Times New Roman" w:hAnsi="Times New Roman"/>
          <w:noProof/>
          <w:sz w:val="24"/>
          <w:szCs w:val="24"/>
        </w:rPr>
        <w:drawing>
          <wp:inline distT="0" distB="0" distL="0" distR="0" wp14:anchorId="51631496">
            <wp:extent cx="4467600" cy="3618000"/>
            <wp:effectExtent l="0" t="0" r="0" b="190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7600" cy="3618000"/>
                    </a:xfrm>
                    <a:prstGeom prst="rect">
                      <a:avLst/>
                    </a:prstGeom>
                    <a:noFill/>
                  </pic:spPr>
                </pic:pic>
              </a:graphicData>
            </a:graphic>
          </wp:inline>
        </w:drawing>
      </w:r>
    </w:p>
    <w:p w:rsidR="0019424A" w:rsidRDefault="0019424A">
      <w:pPr>
        <w:jc w:val="center"/>
        <w:rPr>
          <w:rFonts w:ascii="Times New Roman" w:hAnsi="Times New Roman"/>
          <w:sz w:val="24"/>
          <w:szCs w:val="24"/>
        </w:rPr>
      </w:pPr>
    </w:p>
    <w:p w:rsidR="0019424A" w:rsidRDefault="0019424A">
      <w:pPr>
        <w:jc w:val="center"/>
        <w:rPr>
          <w:rFonts w:ascii="Times New Roman" w:hAnsi="Times New Roman"/>
          <w:sz w:val="24"/>
          <w:szCs w:val="24"/>
        </w:rPr>
      </w:pPr>
    </w:p>
    <w:p w:rsidR="0019424A" w:rsidRDefault="0019424A">
      <w:pPr>
        <w:jc w:val="both"/>
        <w:rPr>
          <w:rFonts w:ascii="Times New Roman" w:hAnsi="Times New Roman"/>
          <w:sz w:val="24"/>
          <w:szCs w:val="24"/>
        </w:rPr>
      </w:pPr>
    </w:p>
    <w:p w:rsidR="0019424A" w:rsidRDefault="00110AA4">
      <w:pPr>
        <w:ind w:firstLine="720"/>
        <w:jc w:val="both"/>
        <w:rPr>
          <w:rFonts w:ascii="Times New Roman" w:hAnsi="Times New Roman"/>
          <w:sz w:val="24"/>
          <w:szCs w:val="24"/>
        </w:rPr>
      </w:pPr>
      <w:r>
        <w:rPr>
          <w:rFonts w:ascii="Times New Roman" w:hAnsi="Times New Roman"/>
          <w:sz w:val="24"/>
          <w:szCs w:val="24"/>
        </w:rPr>
        <w:t xml:space="preserve">              The overall advertising performance of last year comprises of display advertising in standard and nonstandard formats, of PPC advertising (search and context), catalogue advertising, classifieds, and video advertising. Given their increasing importance, mobile forms of advertising - mobile display and search advertising and SMS and MMS advertising - were also included in this year's survey. The data for SMS / MMS advertising were provided by all the 3 mobile operators. These types of digital advertising rank among the most dynamic and are expected to grow by more than 60% (Table 2). </w:t>
      </w:r>
    </w:p>
    <w:p w:rsidR="0019424A" w:rsidRDefault="00110AA4">
      <w:pPr>
        <w:tabs>
          <w:tab w:val="left" w:pos="1380"/>
        </w:tabs>
        <w:jc w:val="both"/>
        <w:rPr>
          <w:rFonts w:ascii="Times New Roman" w:hAnsi="Times New Roman"/>
          <w:sz w:val="24"/>
          <w:szCs w:val="24"/>
        </w:rPr>
      </w:pPr>
      <w:r>
        <w:rPr>
          <w:rFonts w:ascii="Times New Roman" w:hAnsi="Times New Roman"/>
          <w:sz w:val="24"/>
          <w:szCs w:val="24"/>
        </w:rPr>
        <w:t xml:space="preserve">   </w:t>
      </w:r>
    </w:p>
    <w:p w:rsidR="0019424A" w:rsidRDefault="0019424A">
      <w:pPr>
        <w:pStyle w:val="Prosttext"/>
        <w:rPr>
          <w:rFonts w:ascii="Times New Roman" w:hAnsi="Times New Roman"/>
          <w:sz w:val="24"/>
          <w:szCs w:val="24"/>
        </w:rPr>
      </w:pPr>
    </w:p>
    <w:p w:rsidR="0019424A" w:rsidRDefault="00110AA4">
      <w:pPr>
        <w:pStyle w:val="Prosttext"/>
        <w:rPr>
          <w:rFonts w:ascii="Times New Roman" w:hAnsi="Times New Roman"/>
          <w:b/>
          <w:sz w:val="24"/>
          <w:szCs w:val="24"/>
        </w:rPr>
      </w:pPr>
      <w:r>
        <w:rPr>
          <w:rFonts w:ascii="Times New Roman" w:hAnsi="Times New Roman"/>
          <w:sz w:val="24"/>
          <w:szCs w:val="24"/>
          <w:lang w:eastAsia="en-GB"/>
        </w:rPr>
        <w:t xml:space="preserve">Table 2: </w:t>
      </w:r>
      <w:r>
        <w:rPr>
          <w:rFonts w:ascii="Times New Roman" w:hAnsi="Times New Roman"/>
          <w:b/>
          <w:sz w:val="24"/>
          <w:szCs w:val="24"/>
          <w:lang w:eastAsia="en-GB"/>
        </w:rPr>
        <w:t>Mobile advertising performance in 2011 and the estimate for 2012</w:t>
      </w:r>
    </w:p>
    <w:p w:rsidR="0019424A" w:rsidRDefault="0019424A">
      <w:pPr>
        <w:pStyle w:val="Prosttext"/>
        <w:rPr>
          <w:rFonts w:ascii="Times New Roman" w:hAnsi="Times New Roman"/>
          <w:b/>
          <w:sz w:val="24"/>
          <w:szCs w:val="24"/>
        </w:rPr>
      </w:pPr>
    </w:p>
    <w:tbl>
      <w:tblPr>
        <w:tblW w:w="0" w:type="auto"/>
        <w:tblInd w:w="720" w:type="dxa"/>
        <w:tblCellMar>
          <w:left w:w="70" w:type="dxa"/>
          <w:right w:w="70" w:type="dxa"/>
        </w:tblCellMar>
        <w:tblLook w:val="04A0" w:firstRow="1" w:lastRow="0" w:firstColumn="1" w:lastColumn="0" w:noHBand="0" w:noVBand="1"/>
      </w:tblPr>
      <w:tblGrid>
        <w:gridCol w:w="3064"/>
        <w:gridCol w:w="1561"/>
        <w:gridCol w:w="1917"/>
        <w:gridCol w:w="2074"/>
      </w:tblGrid>
      <w:tr w:rsidR="00457EF3" w:rsidRPr="004B1095" w:rsidTr="00457EF3">
        <w:trPr>
          <w:trHeight w:val="499"/>
        </w:trPr>
        <w:tc>
          <w:tcPr>
            <w:tcW w:w="0" w:type="auto"/>
            <w:tcBorders>
              <w:top w:val="nil"/>
              <w:left w:val="nil"/>
              <w:bottom w:val="single" w:sz="4" w:space="0" w:color="808080"/>
              <w:right w:val="nil"/>
            </w:tcBorders>
            <w:shd w:val="clear" w:color="auto" w:fill="auto"/>
            <w:noWrap/>
            <w:vAlign w:val="center"/>
            <w:hideMark/>
          </w:tcPr>
          <w:p w:rsidR="0019424A" w:rsidRDefault="0019424A">
            <w:pPr>
              <w:rPr>
                <w:rFonts w:ascii="Arial" w:hAnsi="Arial" w:cs="Arial"/>
              </w:rPr>
            </w:pPr>
          </w:p>
        </w:tc>
        <w:tc>
          <w:tcPr>
            <w:tcW w:w="0" w:type="auto"/>
            <w:tcBorders>
              <w:top w:val="single" w:sz="4" w:space="0" w:color="808080"/>
              <w:left w:val="single" w:sz="4" w:space="0" w:color="808080"/>
              <w:bottom w:val="single" w:sz="4" w:space="0" w:color="808080"/>
              <w:right w:val="single" w:sz="4" w:space="0" w:color="808080"/>
            </w:tcBorders>
            <w:shd w:val="clear" w:color="000000" w:fill="59C0F8"/>
            <w:vAlign w:val="center"/>
            <w:hideMark/>
          </w:tcPr>
          <w:p w:rsidR="0019424A" w:rsidRDefault="00110AA4">
            <w:pPr>
              <w:jc w:val="center"/>
              <w:rPr>
                <w:rFonts w:ascii="Verdana" w:hAnsi="Verdana" w:cs="Arial"/>
                <w:b/>
                <w:bCs/>
                <w:color w:val="FFFFFF"/>
                <w:sz w:val="18"/>
                <w:szCs w:val="18"/>
              </w:rPr>
            </w:pPr>
            <w:r>
              <w:rPr>
                <w:rFonts w:ascii="Verdana" w:hAnsi="Verdana" w:cs="Arial"/>
                <w:b/>
                <w:bCs/>
                <w:color w:val="FFFFFF"/>
                <w:sz w:val="18"/>
                <w:szCs w:val="18"/>
              </w:rPr>
              <w:t>2011</w:t>
            </w:r>
          </w:p>
        </w:tc>
        <w:tc>
          <w:tcPr>
            <w:tcW w:w="0" w:type="auto"/>
            <w:tcBorders>
              <w:top w:val="single" w:sz="4" w:space="0" w:color="808080"/>
              <w:left w:val="nil"/>
              <w:bottom w:val="single" w:sz="4" w:space="0" w:color="808080"/>
              <w:right w:val="single" w:sz="4" w:space="0" w:color="808080"/>
            </w:tcBorders>
            <w:shd w:val="clear" w:color="000000" w:fill="59C0F8"/>
            <w:vAlign w:val="center"/>
            <w:hideMark/>
          </w:tcPr>
          <w:p w:rsidR="0019424A" w:rsidRDefault="00110AA4">
            <w:pPr>
              <w:jc w:val="center"/>
              <w:rPr>
                <w:rFonts w:ascii="Verdana" w:hAnsi="Verdana" w:cs="Arial"/>
                <w:b/>
                <w:bCs/>
                <w:color w:val="FFFFFF"/>
                <w:sz w:val="18"/>
                <w:szCs w:val="18"/>
              </w:rPr>
            </w:pPr>
            <w:r>
              <w:rPr>
                <w:rFonts w:ascii="Verdana" w:hAnsi="Verdana" w:cs="Arial"/>
                <w:b/>
                <w:bCs/>
                <w:color w:val="FFFFFF"/>
                <w:sz w:val="18"/>
                <w:szCs w:val="18"/>
              </w:rPr>
              <w:t>2012 (estimated)</w:t>
            </w:r>
          </w:p>
        </w:tc>
        <w:tc>
          <w:tcPr>
            <w:tcW w:w="0" w:type="auto"/>
            <w:tcBorders>
              <w:top w:val="single" w:sz="4" w:space="0" w:color="808080"/>
              <w:left w:val="nil"/>
              <w:bottom w:val="single" w:sz="4" w:space="0" w:color="808080"/>
              <w:right w:val="single" w:sz="4" w:space="0" w:color="808080"/>
            </w:tcBorders>
            <w:shd w:val="clear" w:color="000000" w:fill="59C0F8"/>
            <w:vAlign w:val="center"/>
            <w:hideMark/>
          </w:tcPr>
          <w:p w:rsidR="0019424A" w:rsidRDefault="00110AA4">
            <w:pPr>
              <w:jc w:val="center"/>
              <w:rPr>
                <w:rFonts w:ascii="Verdana" w:hAnsi="Verdana" w:cs="Arial"/>
                <w:b/>
                <w:bCs/>
                <w:color w:val="FFFFFF"/>
                <w:sz w:val="18"/>
                <w:szCs w:val="18"/>
              </w:rPr>
            </w:pPr>
            <w:r>
              <w:rPr>
                <w:rFonts w:ascii="Verdana" w:hAnsi="Verdana" w:cs="Arial"/>
                <w:b/>
                <w:bCs/>
                <w:color w:val="FFFFFF"/>
                <w:sz w:val="18"/>
                <w:szCs w:val="18"/>
              </w:rPr>
              <w:t xml:space="preserve">Estimate of growth </w:t>
            </w:r>
          </w:p>
          <w:p w:rsidR="0019424A" w:rsidRDefault="00110AA4">
            <w:pPr>
              <w:jc w:val="center"/>
              <w:rPr>
                <w:rFonts w:ascii="Verdana" w:hAnsi="Verdana" w:cs="Arial"/>
                <w:b/>
                <w:bCs/>
                <w:color w:val="FFFFFF"/>
                <w:sz w:val="18"/>
                <w:szCs w:val="18"/>
              </w:rPr>
            </w:pPr>
            <w:r>
              <w:rPr>
                <w:rFonts w:ascii="Verdana" w:hAnsi="Verdana" w:cs="Arial"/>
                <w:b/>
                <w:bCs/>
                <w:color w:val="FFFFFF"/>
                <w:sz w:val="18"/>
                <w:szCs w:val="18"/>
              </w:rPr>
              <w:t>2012/2011</w:t>
            </w:r>
          </w:p>
        </w:tc>
      </w:tr>
      <w:tr w:rsidR="00457EF3" w:rsidRPr="004B1095" w:rsidTr="00457EF3">
        <w:trPr>
          <w:trHeight w:val="284"/>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9424A" w:rsidRDefault="00110AA4">
            <w:pPr>
              <w:rPr>
                <w:rFonts w:ascii="Verdana" w:hAnsi="Verdana" w:cs="Arial"/>
                <w:b/>
                <w:bCs/>
                <w:color w:val="000000"/>
                <w:sz w:val="18"/>
                <w:szCs w:val="18"/>
              </w:rPr>
            </w:pPr>
            <w:r>
              <w:rPr>
                <w:rFonts w:ascii="Verdana" w:hAnsi="Verdana" w:cs="Arial"/>
                <w:b/>
                <w:bCs/>
                <w:color w:val="000000"/>
                <w:sz w:val="18"/>
                <w:szCs w:val="18"/>
              </w:rPr>
              <w:t>SMS, MMS *</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CZK 114,027,000</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CZK 185,185,000</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rsidR="0019424A" w:rsidRDefault="00110AA4">
            <w:pPr>
              <w:jc w:val="right"/>
              <w:rPr>
                <w:rFonts w:ascii="Verdana" w:hAnsi="Verdana" w:cs="Arial"/>
                <w:sz w:val="16"/>
                <w:szCs w:val="16"/>
              </w:rPr>
            </w:pPr>
            <w:r>
              <w:rPr>
                <w:rFonts w:ascii="Verdana" w:hAnsi="Verdana" w:cs="Arial"/>
                <w:sz w:val="16"/>
                <w:szCs w:val="16"/>
              </w:rPr>
              <w:t>62.4%</w:t>
            </w:r>
          </w:p>
        </w:tc>
      </w:tr>
      <w:tr w:rsidR="00457EF3" w:rsidRPr="004B1095" w:rsidTr="00457EF3">
        <w:trPr>
          <w:trHeight w:val="284"/>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19424A" w:rsidRDefault="00110AA4">
            <w:pPr>
              <w:rPr>
                <w:rFonts w:ascii="Verdana" w:hAnsi="Verdana" w:cs="Arial"/>
                <w:b/>
                <w:bCs/>
                <w:color w:val="000000"/>
                <w:sz w:val="18"/>
                <w:szCs w:val="18"/>
              </w:rPr>
            </w:pPr>
            <w:r>
              <w:rPr>
                <w:rFonts w:ascii="Verdana" w:hAnsi="Verdana" w:cs="Arial"/>
                <w:b/>
                <w:bCs/>
                <w:color w:val="000000"/>
                <w:sz w:val="18"/>
                <w:szCs w:val="18"/>
              </w:rPr>
              <w:t>Mobile internet advertising *</w:t>
            </w:r>
          </w:p>
        </w:tc>
        <w:tc>
          <w:tcPr>
            <w:tcW w:w="0" w:type="auto"/>
            <w:tcBorders>
              <w:top w:val="single" w:sz="4" w:space="0" w:color="808080"/>
              <w:left w:val="nil"/>
              <w:bottom w:val="single" w:sz="4" w:space="0" w:color="808080"/>
              <w:right w:val="single" w:sz="4" w:space="0" w:color="808080"/>
            </w:tcBorders>
            <w:shd w:val="clear" w:color="auto" w:fill="auto"/>
            <w:vAlign w:val="center"/>
          </w:tcPr>
          <w:p w:rsidR="0019424A" w:rsidRDefault="00110AA4">
            <w:pPr>
              <w:jc w:val="right"/>
              <w:rPr>
                <w:rFonts w:ascii="Verdana" w:hAnsi="Verdana" w:cs="Arial"/>
                <w:sz w:val="16"/>
                <w:szCs w:val="16"/>
              </w:rPr>
            </w:pPr>
            <w:r>
              <w:rPr>
                <w:rFonts w:ascii="Verdana" w:hAnsi="Verdana" w:cs="Arial"/>
                <w:sz w:val="16"/>
                <w:szCs w:val="16"/>
              </w:rPr>
              <w:t>CZK 38,945,000</w:t>
            </w:r>
          </w:p>
        </w:tc>
        <w:tc>
          <w:tcPr>
            <w:tcW w:w="0" w:type="auto"/>
            <w:tcBorders>
              <w:top w:val="nil"/>
              <w:left w:val="nil"/>
              <w:bottom w:val="single" w:sz="4" w:space="0" w:color="808080"/>
              <w:right w:val="single" w:sz="4" w:space="0" w:color="808080"/>
            </w:tcBorders>
            <w:shd w:val="clear" w:color="auto" w:fill="auto"/>
            <w:vAlign w:val="center"/>
          </w:tcPr>
          <w:p w:rsidR="0019424A" w:rsidRDefault="00110AA4">
            <w:pPr>
              <w:jc w:val="right"/>
              <w:rPr>
                <w:rFonts w:ascii="Verdana" w:hAnsi="Verdana" w:cs="Arial"/>
                <w:sz w:val="16"/>
                <w:szCs w:val="16"/>
              </w:rPr>
            </w:pPr>
            <w:r>
              <w:rPr>
                <w:rFonts w:ascii="Verdana" w:hAnsi="Verdana" w:cs="Arial"/>
                <w:sz w:val="16"/>
                <w:szCs w:val="16"/>
              </w:rPr>
              <w:t>CZK 62,511,000</w:t>
            </w:r>
          </w:p>
        </w:tc>
        <w:tc>
          <w:tcPr>
            <w:tcW w:w="0" w:type="auto"/>
            <w:tcBorders>
              <w:top w:val="nil"/>
              <w:left w:val="nil"/>
              <w:bottom w:val="single" w:sz="4" w:space="0" w:color="808080"/>
              <w:right w:val="single" w:sz="4" w:space="0" w:color="808080"/>
            </w:tcBorders>
            <w:shd w:val="clear" w:color="auto" w:fill="auto"/>
            <w:vAlign w:val="center"/>
          </w:tcPr>
          <w:p w:rsidR="0019424A" w:rsidRDefault="00110AA4">
            <w:pPr>
              <w:jc w:val="right"/>
              <w:rPr>
                <w:rFonts w:ascii="Verdana" w:hAnsi="Verdana" w:cs="Arial"/>
                <w:sz w:val="16"/>
                <w:szCs w:val="16"/>
              </w:rPr>
            </w:pPr>
            <w:r>
              <w:rPr>
                <w:rFonts w:ascii="Verdana" w:hAnsi="Verdana" w:cs="Arial"/>
                <w:sz w:val="16"/>
                <w:szCs w:val="16"/>
              </w:rPr>
              <w:t>60.5%</w:t>
            </w:r>
          </w:p>
        </w:tc>
      </w:tr>
    </w:tbl>
    <w:p w:rsidR="0019424A" w:rsidRDefault="00110AA4">
      <w:pPr>
        <w:pStyle w:val="Prosttext"/>
        <w:ind w:left="650"/>
        <w:rPr>
          <w:rFonts w:ascii="Verdana" w:hAnsi="Verdana"/>
          <w:i/>
          <w:sz w:val="16"/>
          <w:szCs w:val="24"/>
        </w:rPr>
      </w:pPr>
      <w:r>
        <w:rPr>
          <w:rFonts w:ascii="Verdana" w:hAnsi="Verdana"/>
          <w:i/>
          <w:sz w:val="16"/>
          <w:szCs w:val="24"/>
          <w:lang w:eastAsia="en-GB"/>
        </w:rPr>
        <w:t xml:space="preserve">* </w:t>
      </w:r>
      <w:proofErr w:type="spellStart"/>
      <w:r w:rsidR="007B1C0D">
        <w:rPr>
          <w:rFonts w:ascii="Verdana" w:hAnsi="Verdana"/>
          <w:i/>
          <w:sz w:val="16"/>
          <w:szCs w:val="24"/>
          <w:lang w:eastAsia="en-GB"/>
        </w:rPr>
        <w:t>Ratecard</w:t>
      </w:r>
      <w:proofErr w:type="spellEnd"/>
      <w:r>
        <w:rPr>
          <w:rFonts w:ascii="Verdana" w:hAnsi="Verdana"/>
          <w:i/>
          <w:sz w:val="16"/>
          <w:szCs w:val="24"/>
          <w:lang w:eastAsia="en-GB"/>
        </w:rPr>
        <w:t xml:space="preserve"> </w:t>
      </w:r>
      <w:proofErr w:type="spellStart"/>
      <w:r>
        <w:rPr>
          <w:rFonts w:ascii="Verdana" w:hAnsi="Verdana"/>
          <w:i/>
          <w:sz w:val="16"/>
          <w:szCs w:val="24"/>
          <w:lang w:eastAsia="en-GB"/>
        </w:rPr>
        <w:t>prices</w:t>
      </w:r>
      <w:proofErr w:type="spellEnd"/>
    </w:p>
    <w:p w:rsidR="0019424A" w:rsidRDefault="00110AA4">
      <w:pPr>
        <w:pStyle w:val="Prosttext"/>
        <w:ind w:left="650"/>
        <w:rPr>
          <w:rFonts w:ascii="Verdana" w:hAnsi="Verdana"/>
          <w:i/>
          <w:sz w:val="16"/>
          <w:szCs w:val="24"/>
        </w:rPr>
      </w:pPr>
      <w:r>
        <w:rPr>
          <w:rFonts w:ascii="Verdana" w:hAnsi="Verdana"/>
          <w:i/>
          <w:sz w:val="16"/>
          <w:szCs w:val="24"/>
          <w:lang w:eastAsia="en-GB"/>
        </w:rPr>
        <w:t>Note: Mobile advertising is not included in the overall performance of online advertising</w:t>
      </w:r>
    </w:p>
    <w:p w:rsidR="0019424A" w:rsidRDefault="00110AA4">
      <w:pPr>
        <w:pStyle w:val="Prosttext"/>
        <w:ind w:left="650"/>
        <w:rPr>
          <w:rFonts w:ascii="Verdana" w:hAnsi="Verdana"/>
          <w:i/>
          <w:sz w:val="16"/>
          <w:szCs w:val="24"/>
        </w:rPr>
      </w:pPr>
      <w:r>
        <w:rPr>
          <w:rFonts w:ascii="Verdana" w:hAnsi="Verdana"/>
          <w:i/>
          <w:sz w:val="16"/>
          <w:szCs w:val="24"/>
          <w:lang w:eastAsia="en-GB"/>
        </w:rPr>
        <w:t xml:space="preserve">Source: SPIR, Factum </w:t>
      </w:r>
      <w:proofErr w:type="spellStart"/>
      <w:r>
        <w:rPr>
          <w:rFonts w:ascii="Verdana" w:hAnsi="Verdana"/>
          <w:i/>
          <w:sz w:val="16"/>
          <w:szCs w:val="24"/>
          <w:lang w:eastAsia="en-GB"/>
        </w:rPr>
        <w:t>Invenio</w:t>
      </w:r>
      <w:proofErr w:type="spellEnd"/>
      <w:r>
        <w:rPr>
          <w:rFonts w:ascii="Verdana" w:hAnsi="Verdana"/>
          <w:i/>
          <w:sz w:val="16"/>
          <w:szCs w:val="24"/>
          <w:lang w:eastAsia="en-GB"/>
        </w:rPr>
        <w:t>, February 2012</w:t>
      </w:r>
    </w:p>
    <w:p w:rsidR="0019424A" w:rsidRDefault="0019424A">
      <w:pPr>
        <w:rPr>
          <w:rFonts w:ascii="Times New Roman" w:hAnsi="Times New Roman"/>
          <w:sz w:val="24"/>
          <w:szCs w:val="24"/>
        </w:rPr>
      </w:pPr>
    </w:p>
    <w:p w:rsidR="0019424A" w:rsidRDefault="00110AA4">
      <w:pPr>
        <w:ind w:firstLine="720"/>
        <w:rPr>
          <w:rFonts w:ascii="Times New Roman" w:hAnsi="Times New Roman"/>
          <w:sz w:val="24"/>
          <w:szCs w:val="24"/>
        </w:rPr>
      </w:pPr>
      <w:r>
        <w:rPr>
          <w:rFonts w:ascii="Times New Roman" w:hAnsi="Times New Roman"/>
          <w:sz w:val="24"/>
          <w:szCs w:val="24"/>
        </w:rPr>
        <w:lastRenderedPageBreak/>
        <w:t xml:space="preserve">              Estimates show that other sectors to grow significantly this year will be video advertising (+35%) and PPC advertising (+22%). Tables 1 and 2 depict the year-on-year expected growth rate based on the type of online advertising, while chart 2 shows the comparison of the absolute amounts spent on advertising based on the type of advertising in 2010, 2011 and the estimates for this year.</w:t>
      </w:r>
    </w:p>
    <w:p w:rsidR="0019424A" w:rsidRDefault="0019424A">
      <w:pPr>
        <w:rPr>
          <w:rFonts w:ascii="Times New Roman" w:hAnsi="Times New Roman"/>
          <w:sz w:val="24"/>
          <w:szCs w:val="24"/>
        </w:rPr>
      </w:pPr>
    </w:p>
    <w:p w:rsidR="0019424A" w:rsidRDefault="00110AA4">
      <w:pPr>
        <w:rPr>
          <w:rFonts w:ascii="Times New Roman" w:hAnsi="Times New Roman"/>
          <w:sz w:val="24"/>
          <w:szCs w:val="24"/>
        </w:rPr>
      </w:pPr>
      <w:r>
        <w:rPr>
          <w:rFonts w:ascii="Times New Roman" w:hAnsi="Times New Roman"/>
          <w:sz w:val="24"/>
          <w:szCs w:val="24"/>
        </w:rPr>
        <w:t>Chart 2</w:t>
      </w:r>
    </w:p>
    <w:p w:rsidR="005F6C51" w:rsidRDefault="00364585" w:rsidP="00C4753B">
      <w:pPr>
        <w:jc w:val="center"/>
        <w:rPr>
          <w:rFonts w:ascii="Times New Roman" w:hAnsi="Times New Roman"/>
          <w:sz w:val="24"/>
          <w:szCs w:val="24"/>
        </w:rPr>
      </w:pPr>
      <w:r>
        <w:rPr>
          <w:rFonts w:ascii="Times New Roman" w:hAnsi="Times New Roman"/>
          <w:noProof/>
          <w:sz w:val="24"/>
          <w:szCs w:val="24"/>
        </w:rPr>
        <w:drawing>
          <wp:inline distT="0" distB="0" distL="0" distR="0" wp14:anchorId="687FFC9F">
            <wp:extent cx="4485600" cy="3517200"/>
            <wp:effectExtent l="0" t="0" r="0" b="762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5600" cy="3517200"/>
                    </a:xfrm>
                    <a:prstGeom prst="rect">
                      <a:avLst/>
                    </a:prstGeom>
                    <a:noFill/>
                  </pic:spPr>
                </pic:pic>
              </a:graphicData>
            </a:graphic>
          </wp:inline>
        </w:drawing>
      </w:r>
    </w:p>
    <w:p w:rsidR="0019424A" w:rsidRDefault="0019424A">
      <w:pPr>
        <w:jc w:val="center"/>
        <w:rPr>
          <w:rFonts w:ascii="Times New Roman" w:hAnsi="Times New Roman"/>
          <w:sz w:val="24"/>
          <w:szCs w:val="24"/>
        </w:rPr>
      </w:pPr>
    </w:p>
    <w:p w:rsidR="001E5B8C" w:rsidRDefault="001E5B8C">
      <w:pPr>
        <w:ind w:firstLine="720"/>
        <w:jc w:val="both"/>
        <w:rPr>
          <w:rFonts w:ascii="Times New Roman" w:hAnsi="Times New Roman"/>
          <w:sz w:val="24"/>
          <w:szCs w:val="24"/>
        </w:rPr>
      </w:pPr>
    </w:p>
    <w:p w:rsidR="0019424A" w:rsidRDefault="00110AA4">
      <w:pPr>
        <w:ind w:firstLine="720"/>
        <w:jc w:val="both"/>
        <w:rPr>
          <w:rFonts w:ascii="Times New Roman" w:hAnsi="Times New Roman"/>
          <w:sz w:val="24"/>
          <w:szCs w:val="24"/>
        </w:rPr>
      </w:pPr>
      <w:r>
        <w:rPr>
          <w:rFonts w:ascii="Times New Roman" w:hAnsi="Times New Roman"/>
          <w:sz w:val="24"/>
          <w:szCs w:val="24"/>
        </w:rPr>
        <w:t xml:space="preserve">             As in previous years we expects a slight drop in the share of standard display advertising this year, too, by 2.5% down to 46.7%, and an increase in the share of PPC advertising by 2% up to 32%. The real year-on-year growth of 15.3% of total online advertising expenses in 2011 came up short of last year's expectations, where the respondents had estimated a 24% growth. For this year estimates again speak of growth in the total expenditure, namely by 14.8%.</w:t>
      </w:r>
    </w:p>
    <w:p w:rsidR="0019424A" w:rsidRDefault="0019424A">
      <w:pPr>
        <w:jc w:val="both"/>
        <w:rPr>
          <w:rFonts w:ascii="Times New Roman" w:hAnsi="Times New Roman"/>
          <w:sz w:val="24"/>
          <w:szCs w:val="24"/>
        </w:rPr>
      </w:pPr>
    </w:p>
    <w:p w:rsidR="0019424A" w:rsidRDefault="00110AA4">
      <w:pPr>
        <w:ind w:firstLine="720"/>
        <w:jc w:val="both"/>
        <w:rPr>
          <w:rFonts w:ascii="Times New Roman" w:hAnsi="Times New Roman"/>
          <w:sz w:val="24"/>
          <w:szCs w:val="24"/>
        </w:rPr>
      </w:pPr>
      <w:r>
        <w:rPr>
          <w:rFonts w:ascii="Times New Roman" w:hAnsi="Times New Roman"/>
          <w:sz w:val="24"/>
          <w:szCs w:val="24"/>
        </w:rPr>
        <w:t xml:space="preserve">             When comparing the previous year's overall internet advertising performances with the performances of other media (Chart 3 and Table 3, </w:t>
      </w:r>
      <w:proofErr w:type="spellStart"/>
      <w:r w:rsidR="007B1C0D">
        <w:rPr>
          <w:rFonts w:ascii="Times New Roman" w:hAnsi="Times New Roman"/>
          <w:sz w:val="24"/>
          <w:szCs w:val="24"/>
        </w:rPr>
        <w:t>ratecard</w:t>
      </w:r>
      <w:proofErr w:type="spellEnd"/>
      <w:r>
        <w:rPr>
          <w:rFonts w:ascii="Times New Roman" w:hAnsi="Times New Roman"/>
          <w:sz w:val="24"/>
          <w:szCs w:val="24"/>
        </w:rPr>
        <w:t xml:space="preserve"> </w:t>
      </w:r>
      <w:proofErr w:type="spellStart"/>
      <w:r>
        <w:rPr>
          <w:rFonts w:ascii="Times New Roman" w:hAnsi="Times New Roman"/>
          <w:sz w:val="24"/>
          <w:szCs w:val="24"/>
        </w:rPr>
        <w:t>prices</w:t>
      </w:r>
      <w:proofErr w:type="spellEnd"/>
      <w:r>
        <w:rPr>
          <w:rFonts w:ascii="Times New Roman" w:hAnsi="Times New Roman"/>
          <w:sz w:val="24"/>
          <w:szCs w:val="24"/>
        </w:rPr>
        <w:t xml:space="preserve">) as </w:t>
      </w:r>
      <w:proofErr w:type="spellStart"/>
      <w:r>
        <w:rPr>
          <w:rFonts w:ascii="Times New Roman" w:hAnsi="Times New Roman"/>
          <w:sz w:val="24"/>
          <w:szCs w:val="24"/>
        </w:rPr>
        <w:t>monitored</w:t>
      </w:r>
      <w:proofErr w:type="spellEnd"/>
      <w:r>
        <w:rPr>
          <w:rFonts w:ascii="Times New Roman" w:hAnsi="Times New Roman"/>
          <w:sz w:val="24"/>
          <w:szCs w:val="24"/>
        </w:rPr>
        <w:t xml:space="preserve"> by </w:t>
      </w:r>
      <w:proofErr w:type="spellStart"/>
      <w:r>
        <w:rPr>
          <w:rFonts w:ascii="Times New Roman" w:hAnsi="Times New Roman"/>
          <w:sz w:val="24"/>
          <w:szCs w:val="24"/>
        </w:rPr>
        <w:t>Admosphere</w:t>
      </w:r>
      <w:proofErr w:type="spellEnd"/>
      <w:r>
        <w:rPr>
          <w:rFonts w:ascii="Times New Roman" w:hAnsi="Times New Roman"/>
          <w:sz w:val="24"/>
          <w:szCs w:val="24"/>
        </w:rPr>
        <w:t xml:space="preserve">, as a media type the internet with its almost CZK 9 billion placed third after television and press. The total share of the internet in all the advertising expenses totalled 14.3% last year, which is 1.5% more than the previous year 2010. </w:t>
      </w:r>
    </w:p>
    <w:p w:rsidR="0019424A" w:rsidRDefault="0019424A">
      <w:pPr>
        <w:jc w:val="both"/>
        <w:rPr>
          <w:rFonts w:ascii="Times New Roman" w:hAnsi="Times New Roman"/>
          <w:sz w:val="24"/>
          <w:szCs w:val="24"/>
        </w:rPr>
      </w:pPr>
    </w:p>
    <w:p w:rsidR="0019424A" w:rsidRPr="001E5B8C" w:rsidRDefault="008A65D2" w:rsidP="001E5B8C">
      <w:pPr>
        <w:rPr>
          <w:rFonts w:ascii="Times New Roman" w:hAnsi="Times New Roman"/>
          <w:sz w:val="24"/>
          <w:szCs w:val="24"/>
        </w:rPr>
      </w:pPr>
      <w:r>
        <w:rPr>
          <w:rFonts w:ascii="Times New Roman" w:hAnsi="Times New Roman"/>
          <w:sz w:val="24"/>
          <w:szCs w:val="24"/>
        </w:rPr>
        <w:br w:type="page"/>
      </w:r>
      <w:r w:rsidR="00110AA4">
        <w:rPr>
          <w:rFonts w:ascii="Times New Roman" w:hAnsi="Times New Roman"/>
          <w:sz w:val="24"/>
          <w:szCs w:val="24"/>
        </w:rPr>
        <w:lastRenderedPageBreak/>
        <w:t>Chart 3</w:t>
      </w:r>
    </w:p>
    <w:p w:rsidR="00C807EA" w:rsidRDefault="00364585" w:rsidP="00C807EA">
      <w:pPr>
        <w:ind w:left="1440"/>
        <w:jc w:val="both"/>
        <w:rPr>
          <w:rFonts w:ascii="Verdana" w:hAnsi="Verdana"/>
          <w:i/>
          <w:sz w:val="16"/>
          <w:szCs w:val="24"/>
          <w:lang w:eastAsia="en-US"/>
        </w:rPr>
      </w:pPr>
      <w:r>
        <w:rPr>
          <w:rFonts w:ascii="Verdana" w:hAnsi="Verdana"/>
          <w:i/>
          <w:noProof/>
          <w:sz w:val="16"/>
          <w:szCs w:val="24"/>
        </w:rPr>
        <w:drawing>
          <wp:inline distT="0" distB="0" distL="0" distR="0" wp14:anchorId="01A6B5A5">
            <wp:extent cx="4478400" cy="35136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8400" cy="3513600"/>
                    </a:xfrm>
                    <a:prstGeom prst="rect">
                      <a:avLst/>
                    </a:prstGeom>
                    <a:noFill/>
                  </pic:spPr>
                </pic:pic>
              </a:graphicData>
            </a:graphic>
          </wp:inline>
        </w:drawing>
      </w:r>
      <w:bookmarkStart w:id="0" w:name="_GoBack"/>
      <w:bookmarkEnd w:id="0"/>
      <w:r w:rsidR="00DB5BDE">
        <w:rPr>
          <w:rFonts w:ascii="Times New Roman" w:hAnsi="Times New Roman"/>
          <w:sz w:val="24"/>
          <w:szCs w:val="24"/>
        </w:rPr>
        <w:br/>
      </w:r>
      <w:r w:rsidR="00DB5BDE">
        <w:rPr>
          <w:rFonts w:ascii="Verdana" w:hAnsi="Verdana"/>
          <w:i/>
          <w:sz w:val="16"/>
          <w:szCs w:val="24"/>
        </w:rPr>
        <w:t xml:space="preserve">Note: The radio performance does not include regional sales </w:t>
      </w:r>
    </w:p>
    <w:p w:rsidR="0019424A" w:rsidRDefault="0019424A">
      <w:pPr>
        <w:jc w:val="both"/>
        <w:rPr>
          <w:rFonts w:ascii="Times New Roman" w:hAnsi="Times New Roman"/>
          <w:sz w:val="24"/>
          <w:szCs w:val="24"/>
        </w:rPr>
      </w:pPr>
    </w:p>
    <w:p w:rsidR="0019424A" w:rsidRDefault="0019424A">
      <w:pPr>
        <w:jc w:val="both"/>
        <w:rPr>
          <w:rFonts w:ascii="Times New Roman" w:hAnsi="Times New Roman"/>
          <w:sz w:val="24"/>
          <w:szCs w:val="24"/>
        </w:rPr>
      </w:pPr>
    </w:p>
    <w:p w:rsidR="0019424A" w:rsidRDefault="00110AA4">
      <w:pPr>
        <w:jc w:val="both"/>
        <w:rPr>
          <w:rFonts w:ascii="Times New Roman" w:hAnsi="Times New Roman"/>
          <w:b/>
          <w:sz w:val="24"/>
          <w:szCs w:val="24"/>
        </w:rPr>
      </w:pPr>
      <w:r>
        <w:rPr>
          <w:rFonts w:ascii="Times New Roman" w:hAnsi="Times New Roman"/>
          <w:sz w:val="24"/>
          <w:szCs w:val="24"/>
        </w:rPr>
        <w:t xml:space="preserve">Table 3: </w:t>
      </w:r>
      <w:r>
        <w:rPr>
          <w:rFonts w:ascii="Times New Roman" w:hAnsi="Times New Roman"/>
          <w:b/>
          <w:sz w:val="24"/>
          <w:szCs w:val="24"/>
        </w:rPr>
        <w:t>Share of advertising performance of media types in 2011</w:t>
      </w:r>
    </w:p>
    <w:p w:rsidR="0019424A" w:rsidRDefault="0019424A">
      <w:pPr>
        <w:jc w:val="both"/>
        <w:rPr>
          <w:rFonts w:ascii="Times New Roman" w:hAnsi="Times New Roman"/>
          <w:b/>
          <w:sz w:val="24"/>
          <w:szCs w:val="24"/>
        </w:rPr>
      </w:pPr>
    </w:p>
    <w:tbl>
      <w:tblPr>
        <w:tblW w:w="5217" w:type="dxa"/>
        <w:tblInd w:w="1440" w:type="dxa"/>
        <w:tblCellMar>
          <w:left w:w="70" w:type="dxa"/>
          <w:right w:w="70" w:type="dxa"/>
        </w:tblCellMar>
        <w:tblLook w:val="04A0" w:firstRow="1" w:lastRow="0" w:firstColumn="1" w:lastColumn="0" w:noHBand="0" w:noVBand="1"/>
      </w:tblPr>
      <w:tblGrid>
        <w:gridCol w:w="1740"/>
        <w:gridCol w:w="2059"/>
        <w:gridCol w:w="1418"/>
      </w:tblGrid>
      <w:tr w:rsidR="00095A53" w:rsidRPr="00095A53" w:rsidTr="005235BC">
        <w:trPr>
          <w:trHeight w:val="507"/>
        </w:trPr>
        <w:tc>
          <w:tcPr>
            <w:tcW w:w="1740" w:type="dxa"/>
            <w:tcBorders>
              <w:top w:val="nil"/>
              <w:left w:val="nil"/>
              <w:bottom w:val="nil"/>
              <w:right w:val="nil"/>
            </w:tcBorders>
            <w:shd w:val="clear" w:color="auto" w:fill="auto"/>
            <w:noWrap/>
            <w:vAlign w:val="bottom"/>
            <w:hideMark/>
          </w:tcPr>
          <w:p w:rsidR="0019424A" w:rsidRDefault="0019424A">
            <w:pPr>
              <w:jc w:val="both"/>
              <w:rPr>
                <w:rFonts w:ascii="Arial" w:hAnsi="Arial" w:cs="Arial"/>
              </w:rPr>
            </w:pPr>
          </w:p>
        </w:tc>
        <w:tc>
          <w:tcPr>
            <w:tcW w:w="2059" w:type="dxa"/>
            <w:tcBorders>
              <w:top w:val="single" w:sz="4" w:space="0" w:color="808080"/>
              <w:left w:val="single" w:sz="4" w:space="0" w:color="808080"/>
              <w:bottom w:val="single" w:sz="4" w:space="0" w:color="808080"/>
              <w:right w:val="single" w:sz="4" w:space="0" w:color="808080"/>
            </w:tcBorders>
            <w:shd w:val="clear" w:color="000000" w:fill="59C0F8"/>
            <w:vAlign w:val="center"/>
            <w:hideMark/>
          </w:tcPr>
          <w:p w:rsidR="0019424A" w:rsidRDefault="00110AA4">
            <w:pPr>
              <w:jc w:val="center"/>
              <w:rPr>
                <w:rFonts w:ascii="Verdana" w:hAnsi="Verdana" w:cs="Arial"/>
                <w:b/>
                <w:bCs/>
                <w:color w:val="FFFFFF"/>
                <w:sz w:val="18"/>
                <w:szCs w:val="18"/>
              </w:rPr>
            </w:pPr>
            <w:r>
              <w:rPr>
                <w:rFonts w:ascii="Verdana" w:hAnsi="Verdana" w:cs="Arial"/>
                <w:b/>
                <w:bCs/>
                <w:color w:val="FFFFFF"/>
                <w:sz w:val="18"/>
                <w:szCs w:val="18"/>
              </w:rPr>
              <w:t>2011</w:t>
            </w:r>
          </w:p>
        </w:tc>
        <w:tc>
          <w:tcPr>
            <w:tcW w:w="1418" w:type="dxa"/>
            <w:tcBorders>
              <w:top w:val="single" w:sz="4" w:space="0" w:color="808080"/>
              <w:left w:val="nil"/>
              <w:bottom w:val="single" w:sz="4" w:space="0" w:color="808080"/>
              <w:right w:val="single" w:sz="4" w:space="0" w:color="808080"/>
            </w:tcBorders>
            <w:shd w:val="clear" w:color="000000" w:fill="59C0F8"/>
            <w:vAlign w:val="center"/>
            <w:hideMark/>
          </w:tcPr>
          <w:p w:rsidR="0019424A" w:rsidRDefault="00110AA4">
            <w:pPr>
              <w:jc w:val="center"/>
              <w:rPr>
                <w:rFonts w:ascii="Verdana" w:hAnsi="Verdana" w:cs="Arial"/>
                <w:b/>
                <w:bCs/>
                <w:color w:val="FFFFFF"/>
                <w:sz w:val="18"/>
                <w:szCs w:val="18"/>
              </w:rPr>
            </w:pPr>
            <w:r>
              <w:rPr>
                <w:rFonts w:ascii="Verdana" w:hAnsi="Verdana" w:cs="Arial"/>
                <w:b/>
                <w:bCs/>
                <w:color w:val="FFFFFF"/>
                <w:sz w:val="18"/>
                <w:szCs w:val="18"/>
              </w:rPr>
              <w:t>% of total</w:t>
            </w:r>
          </w:p>
          <w:p w:rsidR="0019424A" w:rsidRDefault="0019424A">
            <w:pPr>
              <w:jc w:val="center"/>
              <w:rPr>
                <w:rFonts w:ascii="Verdana" w:hAnsi="Verdana" w:cs="Arial"/>
                <w:b/>
                <w:bCs/>
                <w:color w:val="FFFFFF"/>
                <w:sz w:val="18"/>
                <w:szCs w:val="18"/>
              </w:rPr>
            </w:pPr>
          </w:p>
        </w:tc>
      </w:tr>
      <w:tr w:rsidR="005235BC" w:rsidRPr="00095A53" w:rsidTr="005235BC">
        <w:trPr>
          <w:trHeight w:val="255"/>
        </w:trPr>
        <w:tc>
          <w:tcPr>
            <w:tcW w:w="174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9424A" w:rsidRDefault="00110AA4">
            <w:pPr>
              <w:jc w:val="both"/>
              <w:rPr>
                <w:rFonts w:ascii="Verdana" w:hAnsi="Verdana" w:cs="Arial"/>
                <w:b/>
                <w:bCs/>
                <w:color w:val="000000"/>
                <w:sz w:val="18"/>
                <w:szCs w:val="18"/>
              </w:rPr>
            </w:pPr>
            <w:r>
              <w:rPr>
                <w:rFonts w:ascii="Verdana" w:hAnsi="Verdana" w:cs="Arial"/>
                <w:b/>
                <w:bCs/>
                <w:color w:val="000000"/>
                <w:sz w:val="18"/>
                <w:szCs w:val="18"/>
              </w:rPr>
              <w:t>TV</w:t>
            </w:r>
          </w:p>
        </w:tc>
        <w:tc>
          <w:tcPr>
            <w:tcW w:w="2059" w:type="dxa"/>
            <w:tcBorders>
              <w:top w:val="nil"/>
              <w:left w:val="nil"/>
              <w:bottom w:val="single" w:sz="4" w:space="0" w:color="808080"/>
              <w:right w:val="single" w:sz="4" w:space="0" w:color="808080"/>
            </w:tcBorders>
            <w:shd w:val="clear" w:color="auto" w:fill="auto"/>
            <w:hideMark/>
          </w:tcPr>
          <w:p w:rsidR="0019424A" w:rsidRDefault="00110AA4">
            <w:pPr>
              <w:jc w:val="right"/>
              <w:rPr>
                <w:rFonts w:ascii="Verdana" w:hAnsi="Verdana" w:cs="Arial"/>
                <w:sz w:val="16"/>
                <w:szCs w:val="16"/>
              </w:rPr>
            </w:pPr>
            <w:r>
              <w:rPr>
                <w:rFonts w:ascii="Verdana" w:hAnsi="Verdana" w:cs="Arial"/>
                <w:sz w:val="16"/>
                <w:szCs w:val="16"/>
              </w:rPr>
              <w:t>CZK 29,162,723,000</w:t>
            </w:r>
          </w:p>
        </w:tc>
        <w:tc>
          <w:tcPr>
            <w:tcW w:w="1418" w:type="dxa"/>
            <w:tcBorders>
              <w:top w:val="nil"/>
              <w:left w:val="nil"/>
              <w:bottom w:val="single" w:sz="4" w:space="0" w:color="808080"/>
              <w:right w:val="single" w:sz="4" w:space="0" w:color="808080"/>
            </w:tcBorders>
            <w:shd w:val="clear" w:color="auto" w:fill="auto"/>
            <w:hideMark/>
          </w:tcPr>
          <w:p w:rsidR="0019424A" w:rsidRDefault="00110AA4">
            <w:pPr>
              <w:jc w:val="right"/>
              <w:rPr>
                <w:rFonts w:ascii="Verdana" w:hAnsi="Verdana" w:cs="Arial"/>
                <w:sz w:val="16"/>
                <w:szCs w:val="16"/>
              </w:rPr>
            </w:pPr>
            <w:r>
              <w:rPr>
                <w:rFonts w:ascii="Verdana" w:hAnsi="Verdana" w:cs="Arial"/>
                <w:sz w:val="16"/>
                <w:szCs w:val="16"/>
              </w:rPr>
              <w:t>46.8%</w:t>
            </w:r>
          </w:p>
        </w:tc>
      </w:tr>
      <w:tr w:rsidR="005235BC" w:rsidRPr="00095A53" w:rsidTr="005235BC">
        <w:trPr>
          <w:trHeight w:val="255"/>
        </w:trPr>
        <w:tc>
          <w:tcPr>
            <w:tcW w:w="1740" w:type="dxa"/>
            <w:tcBorders>
              <w:top w:val="nil"/>
              <w:left w:val="single" w:sz="4" w:space="0" w:color="808080"/>
              <w:bottom w:val="single" w:sz="4" w:space="0" w:color="808080"/>
              <w:right w:val="single" w:sz="4" w:space="0" w:color="808080"/>
            </w:tcBorders>
            <w:shd w:val="clear" w:color="auto" w:fill="auto"/>
            <w:vAlign w:val="center"/>
            <w:hideMark/>
          </w:tcPr>
          <w:p w:rsidR="0019424A" w:rsidRDefault="00110AA4">
            <w:pPr>
              <w:jc w:val="both"/>
              <w:rPr>
                <w:rFonts w:ascii="Verdana" w:hAnsi="Verdana" w:cs="Arial"/>
                <w:b/>
                <w:bCs/>
                <w:color w:val="000000"/>
                <w:sz w:val="18"/>
                <w:szCs w:val="18"/>
              </w:rPr>
            </w:pPr>
            <w:r>
              <w:rPr>
                <w:rFonts w:ascii="Verdana" w:hAnsi="Verdana" w:cs="Arial"/>
                <w:b/>
                <w:bCs/>
                <w:color w:val="000000"/>
                <w:sz w:val="18"/>
                <w:szCs w:val="18"/>
              </w:rPr>
              <w:t>Press</w:t>
            </w:r>
          </w:p>
        </w:tc>
        <w:tc>
          <w:tcPr>
            <w:tcW w:w="2059" w:type="dxa"/>
            <w:tcBorders>
              <w:top w:val="nil"/>
              <w:left w:val="nil"/>
              <w:bottom w:val="single" w:sz="4" w:space="0" w:color="808080"/>
              <w:right w:val="single" w:sz="4" w:space="0" w:color="808080"/>
            </w:tcBorders>
            <w:shd w:val="clear" w:color="auto" w:fill="auto"/>
            <w:hideMark/>
          </w:tcPr>
          <w:p w:rsidR="0019424A" w:rsidRDefault="00110AA4">
            <w:pPr>
              <w:jc w:val="right"/>
              <w:rPr>
                <w:rFonts w:ascii="Verdana" w:hAnsi="Verdana" w:cs="Arial"/>
                <w:sz w:val="16"/>
                <w:szCs w:val="16"/>
              </w:rPr>
            </w:pPr>
            <w:r>
              <w:rPr>
                <w:rFonts w:ascii="Verdana" w:hAnsi="Verdana" w:cs="Arial"/>
                <w:sz w:val="16"/>
                <w:szCs w:val="16"/>
              </w:rPr>
              <w:t>CZK 19,500,741,000</w:t>
            </w:r>
          </w:p>
        </w:tc>
        <w:tc>
          <w:tcPr>
            <w:tcW w:w="1418" w:type="dxa"/>
            <w:tcBorders>
              <w:top w:val="nil"/>
              <w:left w:val="nil"/>
              <w:bottom w:val="single" w:sz="4" w:space="0" w:color="808080"/>
              <w:right w:val="single" w:sz="4" w:space="0" w:color="808080"/>
            </w:tcBorders>
            <w:shd w:val="clear" w:color="auto" w:fill="auto"/>
            <w:hideMark/>
          </w:tcPr>
          <w:p w:rsidR="0019424A" w:rsidRDefault="00110AA4">
            <w:pPr>
              <w:jc w:val="right"/>
              <w:rPr>
                <w:rFonts w:ascii="Verdana" w:hAnsi="Verdana" w:cs="Arial"/>
                <w:sz w:val="16"/>
                <w:szCs w:val="16"/>
              </w:rPr>
            </w:pPr>
            <w:r>
              <w:rPr>
                <w:rFonts w:ascii="Verdana" w:hAnsi="Verdana" w:cs="Arial"/>
                <w:sz w:val="16"/>
                <w:szCs w:val="16"/>
              </w:rPr>
              <w:t>31.3%</w:t>
            </w:r>
          </w:p>
        </w:tc>
      </w:tr>
      <w:tr w:rsidR="005235BC" w:rsidRPr="00095A53" w:rsidTr="005235BC">
        <w:trPr>
          <w:trHeight w:val="255"/>
        </w:trPr>
        <w:tc>
          <w:tcPr>
            <w:tcW w:w="1740" w:type="dxa"/>
            <w:tcBorders>
              <w:top w:val="nil"/>
              <w:left w:val="single" w:sz="4" w:space="0" w:color="808080"/>
              <w:bottom w:val="single" w:sz="4" w:space="0" w:color="808080"/>
              <w:right w:val="single" w:sz="4" w:space="0" w:color="808080"/>
            </w:tcBorders>
            <w:shd w:val="clear" w:color="auto" w:fill="auto"/>
            <w:vAlign w:val="center"/>
          </w:tcPr>
          <w:p w:rsidR="0019424A" w:rsidRDefault="00110AA4">
            <w:pPr>
              <w:jc w:val="both"/>
              <w:rPr>
                <w:rFonts w:ascii="Verdana" w:hAnsi="Verdana" w:cs="Arial"/>
                <w:b/>
                <w:bCs/>
                <w:color w:val="000000"/>
                <w:sz w:val="18"/>
                <w:szCs w:val="18"/>
              </w:rPr>
            </w:pPr>
            <w:r>
              <w:rPr>
                <w:rFonts w:ascii="Verdana" w:hAnsi="Verdana" w:cs="Arial"/>
                <w:b/>
                <w:bCs/>
                <w:color w:val="000000"/>
                <w:sz w:val="18"/>
                <w:szCs w:val="18"/>
              </w:rPr>
              <w:t>Internet</w:t>
            </w:r>
          </w:p>
        </w:tc>
        <w:tc>
          <w:tcPr>
            <w:tcW w:w="2059" w:type="dxa"/>
            <w:tcBorders>
              <w:top w:val="nil"/>
              <w:left w:val="nil"/>
              <w:bottom w:val="single" w:sz="4" w:space="0" w:color="808080"/>
              <w:right w:val="single" w:sz="4" w:space="0" w:color="808080"/>
            </w:tcBorders>
            <w:shd w:val="clear" w:color="auto" w:fill="auto"/>
          </w:tcPr>
          <w:p w:rsidR="0019424A" w:rsidRDefault="00110AA4">
            <w:pPr>
              <w:jc w:val="right"/>
              <w:rPr>
                <w:rFonts w:ascii="Verdana" w:hAnsi="Verdana" w:cs="Arial"/>
                <w:sz w:val="16"/>
                <w:szCs w:val="16"/>
              </w:rPr>
            </w:pPr>
            <w:r>
              <w:rPr>
                <w:rFonts w:ascii="Verdana" w:hAnsi="Verdana" w:cs="Arial"/>
                <w:sz w:val="16"/>
                <w:szCs w:val="16"/>
              </w:rPr>
              <w:t>CZK 8,900,469,000</w:t>
            </w:r>
          </w:p>
        </w:tc>
        <w:tc>
          <w:tcPr>
            <w:tcW w:w="1418" w:type="dxa"/>
            <w:tcBorders>
              <w:top w:val="nil"/>
              <w:left w:val="nil"/>
              <w:bottom w:val="single" w:sz="4" w:space="0" w:color="808080"/>
              <w:right w:val="single" w:sz="4" w:space="0" w:color="808080"/>
            </w:tcBorders>
            <w:shd w:val="clear" w:color="auto" w:fill="auto"/>
          </w:tcPr>
          <w:p w:rsidR="0019424A" w:rsidRDefault="00110AA4">
            <w:pPr>
              <w:jc w:val="right"/>
              <w:rPr>
                <w:rFonts w:ascii="Verdana" w:hAnsi="Verdana" w:cs="Arial"/>
                <w:sz w:val="16"/>
                <w:szCs w:val="16"/>
              </w:rPr>
            </w:pPr>
            <w:r>
              <w:rPr>
                <w:rFonts w:ascii="Verdana" w:hAnsi="Verdana" w:cs="Arial"/>
                <w:sz w:val="16"/>
                <w:szCs w:val="16"/>
              </w:rPr>
              <w:t>14.3%</w:t>
            </w:r>
          </w:p>
        </w:tc>
      </w:tr>
      <w:tr w:rsidR="005235BC" w:rsidRPr="00B24429" w:rsidTr="005235BC">
        <w:trPr>
          <w:trHeight w:val="255"/>
        </w:trPr>
        <w:tc>
          <w:tcPr>
            <w:tcW w:w="1740" w:type="dxa"/>
            <w:tcBorders>
              <w:top w:val="nil"/>
              <w:left w:val="single" w:sz="4" w:space="0" w:color="808080"/>
              <w:bottom w:val="single" w:sz="4" w:space="0" w:color="808080"/>
              <w:right w:val="single" w:sz="4" w:space="0" w:color="808080"/>
            </w:tcBorders>
            <w:shd w:val="clear" w:color="auto" w:fill="auto"/>
            <w:vAlign w:val="center"/>
            <w:hideMark/>
          </w:tcPr>
          <w:p w:rsidR="0019424A" w:rsidRDefault="00110AA4">
            <w:pPr>
              <w:jc w:val="both"/>
              <w:rPr>
                <w:rFonts w:ascii="Verdana" w:hAnsi="Verdana" w:cs="Arial"/>
                <w:b/>
                <w:bCs/>
                <w:color w:val="000000"/>
                <w:sz w:val="18"/>
                <w:szCs w:val="18"/>
              </w:rPr>
            </w:pPr>
            <w:r>
              <w:rPr>
                <w:rFonts w:ascii="Verdana" w:hAnsi="Verdana" w:cs="Arial"/>
                <w:b/>
                <w:bCs/>
                <w:color w:val="000000"/>
                <w:sz w:val="18"/>
                <w:szCs w:val="18"/>
              </w:rPr>
              <w:t>OOH</w:t>
            </w:r>
          </w:p>
        </w:tc>
        <w:tc>
          <w:tcPr>
            <w:tcW w:w="2059" w:type="dxa"/>
            <w:tcBorders>
              <w:top w:val="nil"/>
              <w:left w:val="nil"/>
              <w:bottom w:val="single" w:sz="4" w:space="0" w:color="808080"/>
              <w:right w:val="single" w:sz="4" w:space="0" w:color="808080"/>
            </w:tcBorders>
            <w:shd w:val="clear" w:color="auto" w:fill="auto"/>
            <w:hideMark/>
          </w:tcPr>
          <w:p w:rsidR="0019424A" w:rsidRDefault="00110AA4">
            <w:pPr>
              <w:jc w:val="right"/>
              <w:rPr>
                <w:rFonts w:ascii="Verdana" w:hAnsi="Verdana" w:cs="Arial"/>
                <w:sz w:val="16"/>
                <w:szCs w:val="16"/>
              </w:rPr>
            </w:pPr>
            <w:r>
              <w:rPr>
                <w:rFonts w:ascii="Verdana" w:hAnsi="Verdana" w:cs="Arial"/>
                <w:sz w:val="16"/>
                <w:szCs w:val="16"/>
              </w:rPr>
              <w:t>CZK 3,676,360,000</w:t>
            </w:r>
          </w:p>
        </w:tc>
        <w:tc>
          <w:tcPr>
            <w:tcW w:w="1418" w:type="dxa"/>
            <w:tcBorders>
              <w:top w:val="nil"/>
              <w:left w:val="nil"/>
              <w:bottom w:val="single" w:sz="4" w:space="0" w:color="808080"/>
              <w:right w:val="single" w:sz="4" w:space="0" w:color="808080"/>
            </w:tcBorders>
            <w:shd w:val="clear" w:color="auto" w:fill="auto"/>
            <w:hideMark/>
          </w:tcPr>
          <w:p w:rsidR="0019424A" w:rsidRDefault="00110AA4">
            <w:pPr>
              <w:jc w:val="right"/>
              <w:rPr>
                <w:rFonts w:ascii="Verdana" w:hAnsi="Verdana" w:cs="Arial"/>
                <w:sz w:val="16"/>
                <w:szCs w:val="16"/>
              </w:rPr>
            </w:pPr>
            <w:r>
              <w:rPr>
                <w:rFonts w:ascii="Verdana" w:hAnsi="Verdana" w:cs="Arial"/>
                <w:sz w:val="16"/>
                <w:szCs w:val="16"/>
              </w:rPr>
              <w:t>5.9%</w:t>
            </w:r>
          </w:p>
        </w:tc>
      </w:tr>
      <w:tr w:rsidR="005235BC" w:rsidRPr="00095A53" w:rsidTr="005235BC">
        <w:trPr>
          <w:trHeight w:val="255"/>
        </w:trPr>
        <w:tc>
          <w:tcPr>
            <w:tcW w:w="1740" w:type="dxa"/>
            <w:tcBorders>
              <w:top w:val="nil"/>
              <w:left w:val="single" w:sz="4" w:space="0" w:color="808080"/>
              <w:bottom w:val="single" w:sz="4" w:space="0" w:color="808080"/>
              <w:right w:val="single" w:sz="4" w:space="0" w:color="808080"/>
            </w:tcBorders>
            <w:shd w:val="clear" w:color="auto" w:fill="auto"/>
            <w:vAlign w:val="center"/>
            <w:hideMark/>
          </w:tcPr>
          <w:p w:rsidR="0019424A" w:rsidRDefault="00110AA4">
            <w:pPr>
              <w:jc w:val="both"/>
              <w:rPr>
                <w:rFonts w:ascii="Verdana" w:hAnsi="Verdana" w:cs="Arial"/>
                <w:b/>
                <w:bCs/>
                <w:color w:val="000000"/>
                <w:sz w:val="18"/>
                <w:szCs w:val="18"/>
              </w:rPr>
            </w:pPr>
            <w:r>
              <w:rPr>
                <w:rFonts w:ascii="Verdana" w:hAnsi="Verdana" w:cs="Arial"/>
                <w:b/>
                <w:bCs/>
                <w:color w:val="000000"/>
                <w:sz w:val="18"/>
                <w:szCs w:val="18"/>
              </w:rPr>
              <w:t>Radio</w:t>
            </w:r>
          </w:p>
        </w:tc>
        <w:tc>
          <w:tcPr>
            <w:tcW w:w="2059" w:type="dxa"/>
            <w:tcBorders>
              <w:top w:val="nil"/>
              <w:left w:val="nil"/>
              <w:bottom w:val="single" w:sz="4" w:space="0" w:color="808080"/>
              <w:right w:val="single" w:sz="4" w:space="0" w:color="808080"/>
            </w:tcBorders>
            <w:shd w:val="clear" w:color="auto" w:fill="auto"/>
            <w:hideMark/>
          </w:tcPr>
          <w:p w:rsidR="0019424A" w:rsidRDefault="00110AA4">
            <w:pPr>
              <w:jc w:val="right"/>
              <w:rPr>
                <w:rFonts w:ascii="Verdana" w:hAnsi="Verdana" w:cs="Arial"/>
                <w:sz w:val="16"/>
                <w:szCs w:val="16"/>
              </w:rPr>
            </w:pPr>
            <w:r>
              <w:rPr>
                <w:rFonts w:ascii="Verdana" w:hAnsi="Verdana" w:cs="Arial"/>
                <w:sz w:val="16"/>
                <w:szCs w:val="16"/>
              </w:rPr>
              <w:t>CZK 1,122,994,000</w:t>
            </w:r>
          </w:p>
        </w:tc>
        <w:tc>
          <w:tcPr>
            <w:tcW w:w="1418" w:type="dxa"/>
            <w:tcBorders>
              <w:top w:val="nil"/>
              <w:left w:val="nil"/>
              <w:bottom w:val="single" w:sz="4" w:space="0" w:color="808080"/>
              <w:right w:val="single" w:sz="4" w:space="0" w:color="808080"/>
            </w:tcBorders>
            <w:shd w:val="clear" w:color="auto" w:fill="auto"/>
            <w:hideMark/>
          </w:tcPr>
          <w:p w:rsidR="0019424A" w:rsidRDefault="00110AA4">
            <w:pPr>
              <w:jc w:val="right"/>
              <w:rPr>
                <w:rFonts w:ascii="Verdana" w:hAnsi="Verdana" w:cs="Arial"/>
                <w:sz w:val="16"/>
                <w:szCs w:val="16"/>
              </w:rPr>
            </w:pPr>
            <w:r>
              <w:rPr>
                <w:rFonts w:ascii="Verdana" w:hAnsi="Verdana" w:cs="Arial"/>
                <w:sz w:val="16"/>
                <w:szCs w:val="16"/>
              </w:rPr>
              <w:t>1.8%</w:t>
            </w:r>
          </w:p>
        </w:tc>
      </w:tr>
      <w:tr w:rsidR="005235BC" w:rsidRPr="00095A53" w:rsidTr="005235BC">
        <w:trPr>
          <w:trHeight w:val="255"/>
        </w:trPr>
        <w:tc>
          <w:tcPr>
            <w:tcW w:w="1740" w:type="dxa"/>
            <w:tcBorders>
              <w:top w:val="nil"/>
              <w:left w:val="single" w:sz="4" w:space="0" w:color="808080"/>
              <w:bottom w:val="single" w:sz="4" w:space="0" w:color="808080"/>
              <w:right w:val="single" w:sz="4" w:space="0" w:color="808080"/>
            </w:tcBorders>
            <w:shd w:val="clear" w:color="auto" w:fill="auto"/>
            <w:vAlign w:val="center"/>
            <w:hideMark/>
          </w:tcPr>
          <w:p w:rsidR="0019424A" w:rsidRDefault="00110AA4">
            <w:pPr>
              <w:jc w:val="both"/>
              <w:rPr>
                <w:rFonts w:ascii="Verdana" w:hAnsi="Verdana" w:cs="Arial"/>
                <w:b/>
                <w:bCs/>
                <w:color w:val="000000"/>
                <w:sz w:val="18"/>
                <w:szCs w:val="18"/>
              </w:rPr>
            </w:pPr>
            <w:r>
              <w:rPr>
                <w:rFonts w:ascii="Verdana" w:hAnsi="Verdana" w:cs="Arial"/>
                <w:b/>
                <w:bCs/>
                <w:color w:val="000000"/>
                <w:sz w:val="18"/>
                <w:szCs w:val="18"/>
              </w:rPr>
              <w:t>TOTAL</w:t>
            </w:r>
          </w:p>
        </w:tc>
        <w:tc>
          <w:tcPr>
            <w:tcW w:w="2059" w:type="dxa"/>
            <w:tcBorders>
              <w:top w:val="nil"/>
              <w:left w:val="nil"/>
              <w:bottom w:val="single" w:sz="4" w:space="0" w:color="808080"/>
              <w:right w:val="single" w:sz="4" w:space="0" w:color="808080"/>
            </w:tcBorders>
            <w:shd w:val="clear" w:color="auto" w:fill="auto"/>
            <w:hideMark/>
          </w:tcPr>
          <w:p w:rsidR="0019424A" w:rsidRDefault="00110AA4">
            <w:pPr>
              <w:jc w:val="right"/>
              <w:rPr>
                <w:rFonts w:ascii="Verdana" w:hAnsi="Verdana" w:cs="Arial"/>
                <w:b/>
                <w:bCs/>
                <w:sz w:val="16"/>
                <w:szCs w:val="16"/>
              </w:rPr>
            </w:pPr>
            <w:r>
              <w:rPr>
                <w:rFonts w:ascii="Verdana" w:hAnsi="Verdana" w:cs="Arial"/>
                <w:b/>
                <w:bCs/>
                <w:sz w:val="16"/>
                <w:szCs w:val="16"/>
              </w:rPr>
              <w:t>CZK 62,363,287,000</w:t>
            </w:r>
          </w:p>
        </w:tc>
        <w:tc>
          <w:tcPr>
            <w:tcW w:w="1418" w:type="dxa"/>
            <w:tcBorders>
              <w:top w:val="nil"/>
              <w:left w:val="nil"/>
              <w:bottom w:val="single" w:sz="4" w:space="0" w:color="808080"/>
              <w:right w:val="single" w:sz="4" w:space="0" w:color="808080"/>
            </w:tcBorders>
            <w:shd w:val="clear" w:color="auto" w:fill="auto"/>
            <w:hideMark/>
          </w:tcPr>
          <w:p w:rsidR="0019424A" w:rsidRDefault="00110AA4">
            <w:pPr>
              <w:jc w:val="right"/>
              <w:rPr>
                <w:rFonts w:ascii="Verdana" w:hAnsi="Verdana" w:cs="Arial"/>
                <w:b/>
                <w:bCs/>
                <w:sz w:val="16"/>
                <w:szCs w:val="16"/>
              </w:rPr>
            </w:pPr>
            <w:r>
              <w:rPr>
                <w:rFonts w:ascii="Verdana" w:hAnsi="Verdana" w:cs="Arial"/>
                <w:b/>
                <w:bCs/>
                <w:sz w:val="16"/>
                <w:szCs w:val="16"/>
              </w:rPr>
              <w:t>100.0%</w:t>
            </w:r>
          </w:p>
        </w:tc>
      </w:tr>
    </w:tbl>
    <w:p w:rsidR="0019424A" w:rsidRDefault="00110AA4">
      <w:pPr>
        <w:ind w:left="1440"/>
        <w:jc w:val="both"/>
        <w:rPr>
          <w:rFonts w:ascii="Verdana" w:hAnsi="Verdana"/>
          <w:i/>
          <w:sz w:val="16"/>
          <w:szCs w:val="24"/>
          <w:lang w:eastAsia="en-US"/>
        </w:rPr>
      </w:pPr>
      <w:r>
        <w:rPr>
          <w:rFonts w:ascii="Verdana" w:hAnsi="Verdana"/>
          <w:i/>
          <w:sz w:val="16"/>
          <w:szCs w:val="24"/>
        </w:rPr>
        <w:t xml:space="preserve">Prices excluding </w:t>
      </w:r>
      <w:proofErr w:type="spellStart"/>
      <w:r>
        <w:rPr>
          <w:rFonts w:ascii="Verdana" w:hAnsi="Verdana"/>
          <w:i/>
          <w:sz w:val="16"/>
          <w:szCs w:val="24"/>
        </w:rPr>
        <w:t>selfpromo</w:t>
      </w:r>
      <w:proofErr w:type="spellEnd"/>
    </w:p>
    <w:p w:rsidR="0019424A" w:rsidRDefault="00110AA4">
      <w:pPr>
        <w:ind w:left="1440"/>
        <w:jc w:val="both"/>
        <w:rPr>
          <w:rFonts w:ascii="Verdana" w:hAnsi="Verdana"/>
          <w:i/>
          <w:sz w:val="16"/>
          <w:szCs w:val="24"/>
          <w:lang w:eastAsia="en-US"/>
        </w:rPr>
      </w:pPr>
      <w:r>
        <w:rPr>
          <w:rFonts w:ascii="Verdana" w:hAnsi="Verdana"/>
          <w:i/>
          <w:sz w:val="16"/>
          <w:szCs w:val="24"/>
        </w:rPr>
        <w:t xml:space="preserve">The radio performance does not include regional sales </w:t>
      </w:r>
    </w:p>
    <w:p w:rsidR="0019424A" w:rsidRDefault="00110AA4">
      <w:pPr>
        <w:ind w:left="1440"/>
        <w:jc w:val="both"/>
        <w:rPr>
          <w:rFonts w:ascii="Verdana" w:hAnsi="Verdana"/>
          <w:i/>
          <w:sz w:val="16"/>
          <w:szCs w:val="24"/>
          <w:lang w:eastAsia="en-US"/>
        </w:rPr>
      </w:pPr>
      <w:r>
        <w:rPr>
          <w:rFonts w:ascii="Verdana" w:hAnsi="Verdana"/>
          <w:i/>
          <w:sz w:val="16"/>
          <w:szCs w:val="24"/>
        </w:rPr>
        <w:t xml:space="preserve">Source: SPIR, </w:t>
      </w:r>
      <w:proofErr w:type="spellStart"/>
      <w:r>
        <w:rPr>
          <w:rFonts w:ascii="Verdana" w:hAnsi="Verdana"/>
          <w:i/>
          <w:sz w:val="16"/>
          <w:szCs w:val="24"/>
        </w:rPr>
        <w:t>Admosphere</w:t>
      </w:r>
      <w:proofErr w:type="spellEnd"/>
      <w:r>
        <w:rPr>
          <w:rFonts w:ascii="Verdana" w:hAnsi="Verdana"/>
          <w:i/>
          <w:sz w:val="16"/>
          <w:szCs w:val="24"/>
        </w:rPr>
        <w:t xml:space="preserve">, Factum </w:t>
      </w:r>
      <w:proofErr w:type="spellStart"/>
      <w:r>
        <w:rPr>
          <w:rFonts w:ascii="Verdana" w:hAnsi="Verdana"/>
          <w:i/>
          <w:sz w:val="16"/>
          <w:szCs w:val="24"/>
        </w:rPr>
        <w:t>Invenio</w:t>
      </w:r>
      <w:proofErr w:type="spellEnd"/>
      <w:r>
        <w:rPr>
          <w:rFonts w:ascii="Verdana" w:hAnsi="Verdana"/>
          <w:i/>
          <w:sz w:val="16"/>
          <w:szCs w:val="24"/>
        </w:rPr>
        <w:t>, February 2012</w:t>
      </w:r>
    </w:p>
    <w:p w:rsidR="0019424A" w:rsidRDefault="0019424A">
      <w:pPr>
        <w:jc w:val="both"/>
        <w:rPr>
          <w:rFonts w:ascii="Times New Roman" w:hAnsi="Times New Roman"/>
          <w:sz w:val="24"/>
          <w:szCs w:val="24"/>
        </w:rPr>
      </w:pPr>
    </w:p>
    <w:p w:rsidR="0019424A" w:rsidRDefault="00110AA4">
      <w:pPr>
        <w:rPr>
          <w:rFonts w:ascii="Times New Roman" w:hAnsi="Times New Roman"/>
          <w:sz w:val="24"/>
          <w:szCs w:val="24"/>
        </w:rPr>
      </w:pPr>
      <w:r>
        <w:rPr>
          <w:rFonts w:ascii="Times New Roman" w:hAnsi="Times New Roman"/>
          <w:sz w:val="24"/>
          <w:szCs w:val="24"/>
        </w:rPr>
        <w:br w:type="page"/>
      </w:r>
    </w:p>
    <w:p w:rsidR="0019424A" w:rsidRDefault="00110AA4">
      <w:pPr>
        <w:jc w:val="both"/>
        <w:rPr>
          <w:rFonts w:ascii="Times New Roman" w:hAnsi="Times New Roman"/>
          <w:sz w:val="24"/>
          <w:szCs w:val="24"/>
        </w:rPr>
      </w:pPr>
      <w:r>
        <w:rPr>
          <w:rFonts w:ascii="Times New Roman" w:hAnsi="Times New Roman"/>
          <w:sz w:val="24"/>
          <w:szCs w:val="24"/>
        </w:rPr>
        <w:lastRenderedPageBreak/>
        <w:t xml:space="preserve">Note on terminology: </w:t>
      </w:r>
    </w:p>
    <w:p w:rsidR="0019424A" w:rsidRDefault="00110AA4">
      <w:pPr>
        <w:jc w:val="both"/>
        <w:rPr>
          <w:rFonts w:ascii="Times New Roman" w:hAnsi="Times New Roman"/>
          <w:sz w:val="24"/>
          <w:szCs w:val="24"/>
        </w:rPr>
      </w:pPr>
      <w:r>
        <w:rPr>
          <w:rFonts w:ascii="Times New Roman" w:hAnsi="Times New Roman"/>
          <w:i/>
          <w:sz w:val="24"/>
          <w:szCs w:val="24"/>
        </w:rPr>
        <w:t>PPC stands for pay-per-click. This is an advertising pricing model where advertisers pay for the visits actually brought in and not for the number of views or the time period as is the case with e.g. banner advertising or preferred catalogues. PPC search advertising is usually displayed in search engines on the right next to the search results or in premium positions. On content sites PPC advertising appears on the right or below the article.</w:t>
      </w:r>
    </w:p>
    <w:p w:rsidR="0019424A" w:rsidRDefault="00110AA4">
      <w:pPr>
        <w:jc w:val="both"/>
        <w:rPr>
          <w:rFonts w:ascii="Times New Roman" w:hAnsi="Times New Roman"/>
          <w:i/>
          <w:sz w:val="24"/>
          <w:szCs w:val="24"/>
        </w:rPr>
      </w:pPr>
      <w:r>
        <w:rPr>
          <w:rFonts w:ascii="Times New Roman" w:hAnsi="Times New Roman"/>
          <w:i/>
          <w:sz w:val="24"/>
          <w:szCs w:val="24"/>
        </w:rPr>
        <w:t xml:space="preserve">Standard display advertising includes all the formats of banner advertising found in the internet media price lists. Nonstandard formats are not included in the lists. </w:t>
      </w:r>
    </w:p>
    <w:p w:rsidR="0019424A" w:rsidRDefault="0019424A">
      <w:pPr>
        <w:rPr>
          <w:rFonts w:ascii="Times New Roman" w:hAnsi="Times New Roman"/>
          <w:sz w:val="24"/>
          <w:szCs w:val="24"/>
        </w:rPr>
      </w:pPr>
    </w:p>
    <w:p w:rsidR="0019424A" w:rsidRDefault="00110AA4">
      <w:pPr>
        <w:tabs>
          <w:tab w:val="left" w:pos="1380"/>
        </w:tabs>
        <w:jc w:val="both"/>
        <w:rPr>
          <w:rFonts w:ascii="Times New Roman" w:hAnsi="Times New Roman"/>
          <w:sz w:val="24"/>
          <w:szCs w:val="24"/>
        </w:rPr>
      </w:pPr>
      <w:r>
        <w:rPr>
          <w:rFonts w:ascii="Times New Roman" w:hAnsi="Times New Roman"/>
          <w:sz w:val="24"/>
          <w:szCs w:val="24"/>
        </w:rPr>
        <w:t xml:space="preserve">Description of the methodology: </w:t>
      </w:r>
    </w:p>
    <w:p w:rsidR="0019424A" w:rsidRDefault="00110AA4">
      <w:pPr>
        <w:tabs>
          <w:tab w:val="left" w:pos="1380"/>
        </w:tabs>
        <w:jc w:val="both"/>
        <w:rPr>
          <w:rFonts w:ascii="Times New Roman" w:hAnsi="Times New Roman"/>
          <w:sz w:val="24"/>
          <w:szCs w:val="24"/>
        </w:rPr>
      </w:pPr>
      <w:r>
        <w:rPr>
          <w:rFonts w:ascii="Times New Roman" w:hAnsi="Times New Roman"/>
          <w:sz w:val="24"/>
          <w:szCs w:val="24"/>
        </w:rPr>
        <w:t xml:space="preserve">For the reasons of objectivity and sensitive data protection the Factum </w:t>
      </w:r>
      <w:proofErr w:type="spellStart"/>
      <w:r>
        <w:rPr>
          <w:rFonts w:ascii="Times New Roman" w:hAnsi="Times New Roman"/>
          <w:sz w:val="24"/>
          <w:szCs w:val="24"/>
        </w:rPr>
        <w:t>Invenio</w:t>
      </w:r>
      <w:proofErr w:type="spellEnd"/>
      <w:r>
        <w:rPr>
          <w:rFonts w:ascii="Times New Roman" w:hAnsi="Times New Roman"/>
          <w:sz w:val="24"/>
          <w:szCs w:val="24"/>
        </w:rPr>
        <w:t xml:space="preserve"> agency was hired for the </w:t>
      </w:r>
      <w:r>
        <w:rPr>
          <w:rFonts w:ascii="Times New Roman" w:hAnsi="Times New Roman"/>
          <w:i/>
          <w:sz w:val="24"/>
          <w:szCs w:val="24"/>
        </w:rPr>
        <w:t>questioning</w:t>
      </w:r>
      <w:r>
        <w:rPr>
          <w:rFonts w:ascii="Times New Roman" w:hAnsi="Times New Roman"/>
          <w:sz w:val="24"/>
          <w:szCs w:val="24"/>
        </w:rPr>
        <w:t xml:space="preserve"> and the processing of results.</w:t>
      </w:r>
      <w:r>
        <w:rPr>
          <w:rFonts w:ascii="Times New Roman" w:hAnsi="Times New Roman"/>
          <w:i/>
          <w:iCs/>
          <w:sz w:val="24"/>
          <w:szCs w:val="24"/>
        </w:rPr>
        <w:t xml:space="preserve"> Conducted in January and February 2012, the survey was based on the current annual balance of the individual entities. For the first time ever we did not work with the </w:t>
      </w:r>
      <w:proofErr w:type="spellStart"/>
      <w:r>
        <w:rPr>
          <w:rFonts w:ascii="Times New Roman" w:hAnsi="Times New Roman"/>
          <w:i/>
          <w:iCs/>
          <w:sz w:val="24"/>
          <w:szCs w:val="24"/>
        </w:rPr>
        <w:t>AdMonitoring</w:t>
      </w:r>
      <w:proofErr w:type="spellEnd"/>
      <w:r>
        <w:rPr>
          <w:rFonts w:ascii="Times New Roman" w:hAnsi="Times New Roman"/>
          <w:i/>
          <w:iCs/>
          <w:sz w:val="24"/>
          <w:szCs w:val="24"/>
        </w:rPr>
        <w:t xml:space="preserve"> figures to determine the display advertising performance; the performances of all the types of advertising were generated on the basis of performances declared by the individual content providers, agencies, PPC system operators, and mobile operators.</w:t>
      </w:r>
    </w:p>
    <w:p w:rsidR="0019424A" w:rsidRDefault="00110AA4">
      <w:pPr>
        <w:ind w:firstLine="720"/>
        <w:jc w:val="both"/>
        <w:rPr>
          <w:rFonts w:ascii="Times New Roman" w:hAnsi="Times New Roman"/>
          <w:i/>
          <w:iCs/>
          <w:sz w:val="24"/>
          <w:szCs w:val="24"/>
        </w:rPr>
      </w:pPr>
      <w:r>
        <w:rPr>
          <w:rFonts w:ascii="Times New Roman" w:hAnsi="Times New Roman"/>
          <w:i/>
          <w:iCs/>
          <w:sz w:val="24"/>
          <w:szCs w:val="24"/>
        </w:rPr>
        <w:t>Twenty-nine of the 44 major online media addressed participated actively (66% response rate). All the 3 addressed mobile operators provided the amounts spent on SMS and MMS advertising. In order to obtain the amounts for the individual PPC systems, 3 PPC system operators and a total of 48 agencies (media, specialized SEM, web development) were addressed. One PPC system operator (</w:t>
      </w:r>
      <w:proofErr w:type="spellStart"/>
      <w:r>
        <w:rPr>
          <w:rFonts w:ascii="Times New Roman" w:hAnsi="Times New Roman"/>
          <w:i/>
          <w:iCs/>
          <w:sz w:val="24"/>
          <w:szCs w:val="24"/>
        </w:rPr>
        <w:t>Sklik</w:t>
      </w:r>
      <w:proofErr w:type="spellEnd"/>
      <w:r>
        <w:rPr>
          <w:rFonts w:ascii="Times New Roman" w:hAnsi="Times New Roman"/>
          <w:i/>
          <w:iCs/>
          <w:sz w:val="24"/>
          <w:szCs w:val="24"/>
        </w:rPr>
        <w:t xml:space="preserve"> from Seznam.cz) and 22 agencies actively participated, which represents a 45% response rate. To calculate the total amount spent on advertising in the PPC segment we used the weighted average of the agencies' spends in PPC systems, with the absolute spend of the particular agency as the weight. The total registered 55% return rate was relatively high for this type of survey. What is also important is that the majority of companies whose turnover has a dominant share on the market contributed their data to the survey. This is also why the presented results may be considered representative. </w:t>
      </w:r>
    </w:p>
    <w:p w:rsidR="0019424A" w:rsidRDefault="00110AA4">
      <w:pPr>
        <w:ind w:firstLine="720"/>
        <w:jc w:val="both"/>
        <w:rPr>
          <w:rFonts w:ascii="Times New Roman" w:hAnsi="Times New Roman"/>
          <w:i/>
          <w:iCs/>
          <w:sz w:val="24"/>
          <w:szCs w:val="24"/>
        </w:rPr>
      </w:pPr>
      <w:r>
        <w:rPr>
          <w:rFonts w:ascii="Times New Roman" w:hAnsi="Times New Roman"/>
          <w:i/>
          <w:iCs/>
          <w:sz w:val="24"/>
          <w:szCs w:val="24"/>
        </w:rPr>
        <w:t xml:space="preserve">In order to acquire a single aggregate number for all the forms of internet advertising for the purposes of comparing it with the other media types, we were forced to add up the net </w:t>
      </w:r>
      <w:proofErr w:type="spellStart"/>
      <w:r>
        <w:rPr>
          <w:rFonts w:ascii="Times New Roman" w:hAnsi="Times New Roman"/>
          <w:i/>
          <w:iCs/>
          <w:sz w:val="24"/>
          <w:szCs w:val="24"/>
        </w:rPr>
        <w:t>net</w:t>
      </w:r>
      <w:proofErr w:type="spellEnd"/>
      <w:r>
        <w:rPr>
          <w:rFonts w:ascii="Times New Roman" w:hAnsi="Times New Roman"/>
          <w:i/>
          <w:iCs/>
          <w:sz w:val="24"/>
          <w:szCs w:val="24"/>
        </w:rPr>
        <w:t xml:space="preserve"> prices of the performance-based </w:t>
      </w:r>
      <w:proofErr w:type="spellStart"/>
      <w:r>
        <w:rPr>
          <w:rFonts w:ascii="Times New Roman" w:hAnsi="Times New Roman"/>
          <w:i/>
          <w:iCs/>
          <w:sz w:val="24"/>
          <w:szCs w:val="24"/>
        </w:rPr>
        <w:t>advertising</w:t>
      </w:r>
      <w:proofErr w:type="spellEnd"/>
      <w:r>
        <w:rPr>
          <w:rFonts w:ascii="Times New Roman" w:hAnsi="Times New Roman"/>
          <w:i/>
          <w:iCs/>
          <w:sz w:val="24"/>
          <w:szCs w:val="24"/>
        </w:rPr>
        <w:t xml:space="preserve"> </w:t>
      </w:r>
      <w:proofErr w:type="spellStart"/>
      <w:r>
        <w:rPr>
          <w:rFonts w:ascii="Times New Roman" w:hAnsi="Times New Roman"/>
          <w:i/>
          <w:iCs/>
          <w:sz w:val="24"/>
          <w:szCs w:val="24"/>
        </w:rPr>
        <w:t>with</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the</w:t>
      </w:r>
      <w:proofErr w:type="spellEnd"/>
      <w:r>
        <w:rPr>
          <w:rFonts w:ascii="Times New Roman" w:hAnsi="Times New Roman"/>
          <w:i/>
          <w:iCs/>
          <w:sz w:val="24"/>
          <w:szCs w:val="24"/>
        </w:rPr>
        <w:t xml:space="preserve"> </w:t>
      </w:r>
      <w:proofErr w:type="spellStart"/>
      <w:r w:rsidR="007B1C0D">
        <w:rPr>
          <w:rFonts w:ascii="Times New Roman" w:hAnsi="Times New Roman"/>
          <w:i/>
          <w:iCs/>
          <w:sz w:val="24"/>
          <w:szCs w:val="24"/>
        </w:rPr>
        <w:t>ratecard</w:t>
      </w:r>
      <w:proofErr w:type="spellEnd"/>
      <w:r>
        <w:rPr>
          <w:rFonts w:ascii="Times New Roman" w:hAnsi="Times New Roman"/>
          <w:i/>
          <w:iCs/>
          <w:sz w:val="24"/>
          <w:szCs w:val="24"/>
        </w:rPr>
        <w:t xml:space="preserve"> </w:t>
      </w:r>
      <w:proofErr w:type="spellStart"/>
      <w:r>
        <w:rPr>
          <w:rFonts w:ascii="Times New Roman" w:hAnsi="Times New Roman"/>
          <w:i/>
          <w:iCs/>
          <w:sz w:val="24"/>
          <w:szCs w:val="24"/>
        </w:rPr>
        <w:t>prices</w:t>
      </w:r>
      <w:proofErr w:type="spellEnd"/>
      <w:r>
        <w:rPr>
          <w:rFonts w:ascii="Times New Roman" w:hAnsi="Times New Roman"/>
          <w:i/>
          <w:iCs/>
          <w:sz w:val="24"/>
          <w:szCs w:val="24"/>
        </w:rPr>
        <w:t xml:space="preserve"> </w:t>
      </w:r>
      <w:proofErr w:type="spellStart"/>
      <w:r>
        <w:rPr>
          <w:rFonts w:ascii="Times New Roman" w:hAnsi="Times New Roman"/>
          <w:i/>
          <w:iCs/>
          <w:sz w:val="24"/>
          <w:szCs w:val="24"/>
        </w:rPr>
        <w:t>of</w:t>
      </w:r>
      <w:proofErr w:type="spellEnd"/>
      <w:r>
        <w:rPr>
          <w:rFonts w:ascii="Times New Roman" w:hAnsi="Times New Roman"/>
          <w:i/>
          <w:iCs/>
          <w:sz w:val="24"/>
          <w:szCs w:val="24"/>
        </w:rPr>
        <w:t xml:space="preserve"> </w:t>
      </w:r>
      <w:proofErr w:type="spellStart"/>
      <w:r>
        <w:rPr>
          <w:rFonts w:ascii="Times New Roman" w:hAnsi="Times New Roman"/>
          <w:i/>
          <w:iCs/>
          <w:sz w:val="24"/>
          <w:szCs w:val="24"/>
        </w:rPr>
        <w:t>all</w:t>
      </w:r>
      <w:proofErr w:type="spellEnd"/>
      <w:r>
        <w:rPr>
          <w:rFonts w:ascii="Times New Roman" w:hAnsi="Times New Roman"/>
          <w:i/>
          <w:iCs/>
          <w:sz w:val="24"/>
          <w:szCs w:val="24"/>
        </w:rPr>
        <w:t xml:space="preserve"> the other forms of internet advertising. This is because performance </w:t>
      </w:r>
      <w:proofErr w:type="spellStart"/>
      <w:r>
        <w:rPr>
          <w:rFonts w:ascii="Times New Roman" w:hAnsi="Times New Roman"/>
          <w:i/>
          <w:iCs/>
          <w:sz w:val="24"/>
          <w:szCs w:val="24"/>
        </w:rPr>
        <w:t>advertising</w:t>
      </w:r>
      <w:proofErr w:type="spellEnd"/>
      <w:r>
        <w:rPr>
          <w:rFonts w:ascii="Times New Roman" w:hAnsi="Times New Roman"/>
          <w:i/>
          <w:iCs/>
          <w:sz w:val="24"/>
          <w:szCs w:val="24"/>
        </w:rPr>
        <w:t xml:space="preserve"> has no </w:t>
      </w:r>
      <w:proofErr w:type="spellStart"/>
      <w:r w:rsidR="007B1C0D">
        <w:rPr>
          <w:rFonts w:ascii="Times New Roman" w:hAnsi="Times New Roman"/>
          <w:i/>
          <w:iCs/>
          <w:sz w:val="24"/>
          <w:szCs w:val="24"/>
        </w:rPr>
        <w:t>ratecard</w:t>
      </w:r>
      <w:proofErr w:type="spellEnd"/>
      <w:r>
        <w:rPr>
          <w:rFonts w:ascii="Times New Roman" w:hAnsi="Times New Roman"/>
          <w:i/>
          <w:iCs/>
          <w:sz w:val="24"/>
          <w:szCs w:val="24"/>
        </w:rPr>
        <w:t xml:space="preserve"> </w:t>
      </w:r>
      <w:proofErr w:type="spellStart"/>
      <w:r>
        <w:rPr>
          <w:rFonts w:ascii="Times New Roman" w:hAnsi="Times New Roman"/>
          <w:i/>
          <w:iCs/>
          <w:sz w:val="24"/>
          <w:szCs w:val="24"/>
        </w:rPr>
        <w:t>pricing</w:t>
      </w:r>
      <w:proofErr w:type="spellEnd"/>
      <w:r>
        <w:rPr>
          <w:rFonts w:ascii="Times New Roman" w:hAnsi="Times New Roman"/>
          <w:i/>
          <w:iCs/>
          <w:sz w:val="24"/>
          <w:szCs w:val="24"/>
        </w:rPr>
        <w:t xml:space="preserve">. It would be unacceptable to increase the net </w:t>
      </w:r>
      <w:proofErr w:type="spellStart"/>
      <w:r>
        <w:rPr>
          <w:rFonts w:ascii="Times New Roman" w:hAnsi="Times New Roman"/>
          <w:i/>
          <w:iCs/>
          <w:sz w:val="24"/>
          <w:szCs w:val="24"/>
        </w:rPr>
        <w:t>net</w:t>
      </w:r>
      <w:proofErr w:type="spellEnd"/>
      <w:r>
        <w:rPr>
          <w:rFonts w:ascii="Times New Roman" w:hAnsi="Times New Roman"/>
          <w:i/>
          <w:iCs/>
          <w:sz w:val="24"/>
          <w:szCs w:val="24"/>
        </w:rPr>
        <w:t xml:space="preserve"> prices of the performance advertising by a hypothetical margin, improving thus the overall balance of the internet. There are no estimates of net </w:t>
      </w:r>
      <w:proofErr w:type="spellStart"/>
      <w:r>
        <w:rPr>
          <w:rFonts w:ascii="Times New Roman" w:hAnsi="Times New Roman"/>
          <w:i/>
          <w:iCs/>
          <w:sz w:val="24"/>
          <w:szCs w:val="24"/>
        </w:rPr>
        <w:t>net</w:t>
      </w:r>
      <w:proofErr w:type="spellEnd"/>
      <w:r>
        <w:rPr>
          <w:rFonts w:ascii="Times New Roman" w:hAnsi="Times New Roman"/>
          <w:i/>
          <w:iCs/>
          <w:sz w:val="24"/>
          <w:szCs w:val="24"/>
        </w:rPr>
        <w:t xml:space="preserve"> pricing for the other media types available. The overall performances of the internet did not include the mobile forms of advertising.  </w:t>
      </w:r>
    </w:p>
    <w:p w:rsidR="0019424A" w:rsidRDefault="0019424A">
      <w:pPr>
        <w:ind w:firstLine="720"/>
        <w:rPr>
          <w:rFonts w:ascii="Times New Roman" w:hAnsi="Times New Roman"/>
          <w:sz w:val="24"/>
          <w:szCs w:val="24"/>
        </w:rPr>
      </w:pPr>
    </w:p>
    <w:p w:rsidR="0019424A" w:rsidRDefault="00110AA4">
      <w:pPr>
        <w:ind w:firstLine="720"/>
        <w:rPr>
          <w:rFonts w:ascii="Times New Roman" w:hAnsi="Times New Roman"/>
          <w:sz w:val="24"/>
          <w:szCs w:val="24"/>
        </w:rPr>
      </w:pPr>
      <w:r>
        <w:rPr>
          <w:rFonts w:ascii="Times New Roman" w:hAnsi="Times New Roman"/>
          <w:sz w:val="24"/>
          <w:szCs w:val="24"/>
        </w:rPr>
        <w:tab/>
      </w:r>
    </w:p>
    <w:p w:rsidR="0019424A" w:rsidRDefault="00110AA4">
      <w:pPr>
        <w:ind w:firstLine="720"/>
        <w:rPr>
          <w:rFonts w:ascii="Times New Roman" w:hAnsi="Times New Roman"/>
          <w:sz w:val="24"/>
          <w:szCs w:val="24"/>
        </w:rPr>
      </w:pPr>
      <w:r>
        <w:rPr>
          <w:rFonts w:ascii="Times New Roman" w:hAnsi="Times New Roman"/>
          <w:sz w:val="24"/>
          <w:szCs w:val="24"/>
        </w:rPr>
        <w:t xml:space="preserve">For the description of the forms of internet display advertising, go </w:t>
      </w:r>
      <w:hyperlink r:id="rId12" w:history="1">
        <w:r>
          <w:rPr>
            <w:rStyle w:val="Hypertextovodkaz"/>
            <w:rFonts w:ascii="Times New Roman" w:hAnsi="Times New Roman"/>
            <w:sz w:val="24"/>
            <w:szCs w:val="24"/>
          </w:rPr>
          <w:t>here</w:t>
        </w:r>
      </w:hyperlink>
      <w:r>
        <w:rPr>
          <w:rFonts w:ascii="Times New Roman" w:hAnsi="Times New Roman"/>
          <w:sz w:val="24"/>
          <w:szCs w:val="24"/>
        </w:rPr>
        <w:t>.</w:t>
      </w:r>
    </w:p>
    <w:p w:rsidR="0019424A" w:rsidRDefault="0019424A">
      <w:pPr>
        <w:rPr>
          <w:rFonts w:ascii="Times New Roman" w:hAnsi="Times New Roman"/>
          <w:sz w:val="24"/>
          <w:szCs w:val="24"/>
        </w:rPr>
      </w:pPr>
    </w:p>
    <w:p w:rsidR="0019424A" w:rsidRDefault="0019424A">
      <w:pPr>
        <w:rPr>
          <w:rFonts w:ascii="Times New Roman" w:hAnsi="Times New Roman"/>
          <w:sz w:val="24"/>
          <w:szCs w:val="24"/>
        </w:rPr>
      </w:pPr>
    </w:p>
    <w:p w:rsidR="0019424A" w:rsidRDefault="00110AA4">
      <w:pPr>
        <w:ind w:firstLine="720"/>
        <w:jc w:val="both"/>
        <w:rPr>
          <w:rFonts w:ascii="Times New Roman" w:hAnsi="Times New Roman"/>
          <w:sz w:val="24"/>
          <w:szCs w:val="24"/>
        </w:rPr>
      </w:pPr>
      <w:r>
        <w:rPr>
          <w:rFonts w:ascii="Times New Roman" w:hAnsi="Times New Roman"/>
          <w:sz w:val="24"/>
          <w:szCs w:val="24"/>
        </w:rPr>
        <w:t xml:space="preserve">SPIR is a professional association dealing with internet advertising since 2000. The association is currently made up of 60 members. In addition to operating a uniform, widely respected survey of internet traffic and the socio-demographic profile of internet visitors titled </w:t>
      </w:r>
      <w:proofErr w:type="spellStart"/>
      <w:r>
        <w:rPr>
          <w:rFonts w:ascii="Times New Roman" w:hAnsi="Times New Roman"/>
          <w:sz w:val="24"/>
          <w:szCs w:val="24"/>
        </w:rPr>
        <w:t>NetMonitor</w:t>
      </w:r>
      <w:proofErr w:type="spellEnd"/>
      <w:r>
        <w:rPr>
          <w:rFonts w:ascii="Times New Roman" w:hAnsi="Times New Roman"/>
          <w:sz w:val="24"/>
          <w:szCs w:val="24"/>
        </w:rPr>
        <w:t xml:space="preserve">, the Association also implements the internet advertising monitoring project </w:t>
      </w:r>
      <w:proofErr w:type="spellStart"/>
      <w:r>
        <w:rPr>
          <w:rFonts w:ascii="Times New Roman" w:hAnsi="Times New Roman"/>
          <w:sz w:val="24"/>
          <w:szCs w:val="24"/>
        </w:rPr>
        <w:t>AdMonitoring</w:t>
      </w:r>
      <w:proofErr w:type="spellEnd"/>
      <w:r>
        <w:rPr>
          <w:rFonts w:ascii="Times New Roman" w:hAnsi="Times New Roman"/>
          <w:sz w:val="24"/>
          <w:szCs w:val="24"/>
        </w:rPr>
        <w:t xml:space="preserve">, organizes the IAC internet </w:t>
      </w:r>
      <w:r>
        <w:rPr>
          <w:rFonts w:ascii="Times New Roman" w:hAnsi="Times New Roman"/>
          <w:sz w:val="24"/>
          <w:szCs w:val="24"/>
        </w:rPr>
        <w:lastRenderedPageBreak/>
        <w:t>marketing conference, provides expert analyses of the development of the internet market in the Czech Republic, and self-regulates audio visual content.</w:t>
      </w:r>
    </w:p>
    <w:p w:rsidR="0019424A" w:rsidRDefault="0019424A">
      <w:pPr>
        <w:rPr>
          <w:rFonts w:ascii="Times New Roman" w:hAnsi="Times New Roman"/>
          <w:sz w:val="24"/>
          <w:szCs w:val="24"/>
        </w:rPr>
      </w:pPr>
    </w:p>
    <w:p w:rsidR="0019424A" w:rsidRDefault="00110AA4">
      <w:pPr>
        <w:pBdr>
          <w:top w:val="single" w:sz="6" w:space="2" w:color="auto"/>
        </w:pBdr>
        <w:rPr>
          <w:rFonts w:ascii="Times New Roman" w:hAnsi="Times New Roman"/>
          <w:sz w:val="24"/>
          <w:szCs w:val="24"/>
        </w:rPr>
      </w:pPr>
      <w:r>
        <w:rPr>
          <w:rFonts w:ascii="Times New Roman" w:hAnsi="Times New Roman"/>
          <w:sz w:val="24"/>
          <w:szCs w:val="24"/>
        </w:rPr>
        <w:t>For additional information please call:</w:t>
      </w:r>
    </w:p>
    <w:p w:rsidR="0019424A" w:rsidRDefault="0019424A">
      <w:pPr>
        <w:rPr>
          <w:rFonts w:ascii="Times New Roman" w:hAnsi="Times New Roman"/>
          <w:b/>
          <w:sz w:val="24"/>
          <w:szCs w:val="24"/>
        </w:rPr>
      </w:pPr>
    </w:p>
    <w:p w:rsidR="0019424A" w:rsidRDefault="00110AA4">
      <w:pPr>
        <w:rPr>
          <w:rFonts w:ascii="Times New Roman" w:hAnsi="Times New Roman"/>
          <w:b/>
          <w:sz w:val="24"/>
          <w:szCs w:val="24"/>
        </w:rPr>
      </w:pPr>
      <w:proofErr w:type="spellStart"/>
      <w:r>
        <w:rPr>
          <w:rFonts w:ascii="Times New Roman" w:hAnsi="Times New Roman"/>
          <w:b/>
          <w:sz w:val="24"/>
          <w:szCs w:val="24"/>
        </w:rPr>
        <w:t>Pavel</w:t>
      </w:r>
      <w:proofErr w:type="spellEnd"/>
      <w:r>
        <w:rPr>
          <w:rFonts w:ascii="Times New Roman" w:hAnsi="Times New Roman"/>
          <w:b/>
          <w:sz w:val="24"/>
          <w:szCs w:val="24"/>
        </w:rPr>
        <w:t xml:space="preserve"> </w:t>
      </w:r>
      <w:proofErr w:type="spellStart"/>
      <w:r>
        <w:rPr>
          <w:rFonts w:ascii="Times New Roman" w:hAnsi="Times New Roman"/>
          <w:b/>
          <w:sz w:val="24"/>
          <w:szCs w:val="24"/>
        </w:rPr>
        <w:t>Ševera</w:t>
      </w:r>
      <w:proofErr w:type="spellEnd"/>
    </w:p>
    <w:p w:rsidR="0019424A" w:rsidRDefault="00110AA4">
      <w:pPr>
        <w:rPr>
          <w:rFonts w:ascii="Times New Roman" w:hAnsi="Times New Roman"/>
          <w:sz w:val="24"/>
          <w:szCs w:val="24"/>
        </w:rPr>
      </w:pPr>
      <w:r>
        <w:rPr>
          <w:rFonts w:ascii="Times New Roman" w:hAnsi="Times New Roman"/>
          <w:sz w:val="24"/>
          <w:szCs w:val="24"/>
        </w:rPr>
        <w:t>SPIR Survey Project Coordinator</w:t>
      </w:r>
    </w:p>
    <w:p w:rsidR="0019424A" w:rsidRDefault="00110AA4">
      <w:pPr>
        <w:rPr>
          <w:rFonts w:ascii="Times New Roman" w:hAnsi="Times New Roman"/>
          <w:sz w:val="24"/>
          <w:szCs w:val="24"/>
        </w:rPr>
      </w:pPr>
      <w:r>
        <w:rPr>
          <w:rFonts w:ascii="Times New Roman" w:hAnsi="Times New Roman"/>
          <w:sz w:val="24"/>
          <w:szCs w:val="24"/>
        </w:rPr>
        <w:t>Tel: +420 224 251 250</w:t>
      </w:r>
    </w:p>
    <w:p w:rsidR="0019424A" w:rsidRDefault="00110AA4">
      <w:pPr>
        <w:rPr>
          <w:rStyle w:val="Hypertextovodkaz"/>
          <w:rFonts w:ascii="Times New Roman" w:hAnsi="Times New Roman"/>
          <w:sz w:val="24"/>
          <w:szCs w:val="24"/>
        </w:rPr>
      </w:pPr>
      <w:proofErr w:type="gramStart"/>
      <w:r>
        <w:rPr>
          <w:rFonts w:ascii="Times New Roman" w:hAnsi="Times New Roman"/>
          <w:sz w:val="24"/>
          <w:szCs w:val="24"/>
        </w:rPr>
        <w:t>e-mail</w:t>
      </w:r>
      <w:proofErr w:type="gramEnd"/>
      <w:r>
        <w:rPr>
          <w:rFonts w:ascii="Times New Roman" w:hAnsi="Times New Roman"/>
          <w:sz w:val="24"/>
          <w:szCs w:val="24"/>
        </w:rPr>
        <w:t xml:space="preserve">: </w:t>
      </w:r>
      <w:hyperlink r:id="rId13" w:history="1">
        <w:r>
          <w:rPr>
            <w:rStyle w:val="Hypertextovodkaz"/>
            <w:rFonts w:ascii="Times New Roman" w:hAnsi="Times New Roman"/>
            <w:sz w:val="24"/>
            <w:szCs w:val="24"/>
          </w:rPr>
          <w:t>pavel.severa@spir.cz</w:t>
        </w:r>
      </w:hyperlink>
    </w:p>
    <w:p w:rsidR="0019424A" w:rsidRDefault="0019424A">
      <w:pPr>
        <w:rPr>
          <w:rStyle w:val="Hypertextovodkaz"/>
          <w:rFonts w:ascii="Times New Roman" w:hAnsi="Times New Roman"/>
          <w:sz w:val="24"/>
          <w:szCs w:val="24"/>
        </w:rPr>
      </w:pPr>
    </w:p>
    <w:p w:rsidR="0019424A" w:rsidRDefault="00110AA4">
      <w:pPr>
        <w:rPr>
          <w:rFonts w:ascii="Times New Roman" w:hAnsi="Times New Roman"/>
          <w:b/>
          <w:sz w:val="24"/>
          <w:szCs w:val="24"/>
        </w:rPr>
      </w:pPr>
      <w:proofErr w:type="spellStart"/>
      <w:r>
        <w:rPr>
          <w:rFonts w:ascii="Times New Roman" w:hAnsi="Times New Roman"/>
          <w:b/>
          <w:sz w:val="24"/>
          <w:szCs w:val="24"/>
        </w:rPr>
        <w:t>Petr</w:t>
      </w:r>
      <w:proofErr w:type="spellEnd"/>
      <w:r>
        <w:rPr>
          <w:rFonts w:ascii="Times New Roman" w:hAnsi="Times New Roman"/>
          <w:b/>
          <w:sz w:val="24"/>
          <w:szCs w:val="24"/>
        </w:rPr>
        <w:t xml:space="preserve"> </w:t>
      </w:r>
      <w:proofErr w:type="spellStart"/>
      <w:r>
        <w:rPr>
          <w:rFonts w:ascii="Times New Roman" w:hAnsi="Times New Roman"/>
          <w:b/>
          <w:sz w:val="24"/>
          <w:szCs w:val="24"/>
        </w:rPr>
        <w:t>Kolář</w:t>
      </w:r>
      <w:proofErr w:type="spellEnd"/>
    </w:p>
    <w:p w:rsidR="0019424A" w:rsidRDefault="00110AA4">
      <w:pPr>
        <w:rPr>
          <w:rFonts w:ascii="Times New Roman" w:hAnsi="Times New Roman"/>
          <w:sz w:val="24"/>
          <w:szCs w:val="24"/>
        </w:rPr>
      </w:pPr>
      <w:r>
        <w:rPr>
          <w:rFonts w:ascii="Times New Roman" w:hAnsi="Times New Roman"/>
          <w:sz w:val="24"/>
          <w:szCs w:val="24"/>
        </w:rPr>
        <w:t>SPIR Analyst</w:t>
      </w:r>
    </w:p>
    <w:p w:rsidR="0019424A" w:rsidRDefault="00110AA4">
      <w:pPr>
        <w:rPr>
          <w:rFonts w:ascii="Times New Roman" w:hAnsi="Times New Roman"/>
          <w:sz w:val="24"/>
          <w:szCs w:val="24"/>
        </w:rPr>
      </w:pPr>
      <w:r>
        <w:rPr>
          <w:rFonts w:ascii="Times New Roman" w:hAnsi="Times New Roman"/>
          <w:sz w:val="24"/>
          <w:szCs w:val="24"/>
        </w:rPr>
        <w:t>Tel: +420 603 749 847</w:t>
      </w:r>
    </w:p>
    <w:p w:rsidR="0019424A" w:rsidRDefault="00110AA4">
      <w:proofErr w:type="gramStart"/>
      <w:r>
        <w:rPr>
          <w:rFonts w:ascii="Times New Roman" w:hAnsi="Times New Roman"/>
          <w:sz w:val="24"/>
          <w:szCs w:val="24"/>
        </w:rPr>
        <w:t>e-mail</w:t>
      </w:r>
      <w:proofErr w:type="gramEnd"/>
      <w:r>
        <w:rPr>
          <w:rFonts w:ascii="Times New Roman" w:hAnsi="Times New Roman"/>
          <w:sz w:val="24"/>
          <w:szCs w:val="24"/>
        </w:rPr>
        <w:t xml:space="preserve">: </w:t>
      </w:r>
      <w:hyperlink r:id="rId14" w:history="1">
        <w:r>
          <w:rPr>
            <w:rStyle w:val="Hypertextovodkaz"/>
            <w:rFonts w:ascii="Times New Roman" w:hAnsi="Times New Roman"/>
            <w:sz w:val="24"/>
            <w:szCs w:val="24"/>
          </w:rPr>
          <w:t>petr.kolar@spir.cz</w:t>
        </w:r>
      </w:hyperlink>
    </w:p>
    <w:p w:rsidR="0019424A" w:rsidRDefault="0019424A"/>
    <w:sectPr w:rsidR="0019424A" w:rsidSect="0019424A">
      <w:headerReference w:type="default" r:id="rId15"/>
      <w:pgSz w:w="12240" w:h="15840" w:code="1"/>
      <w:pgMar w:top="2835" w:right="1140" w:bottom="805" w:left="11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72D" w:rsidRDefault="0036672D">
      <w:r>
        <w:separator/>
      </w:r>
    </w:p>
  </w:endnote>
  <w:endnote w:type="continuationSeparator" w:id="0">
    <w:p w:rsidR="0036672D" w:rsidRDefault="0036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72D" w:rsidRDefault="0036672D">
      <w:r>
        <w:separator/>
      </w:r>
    </w:p>
  </w:footnote>
  <w:footnote w:type="continuationSeparator" w:id="0">
    <w:p w:rsidR="0036672D" w:rsidRDefault="0036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72D" w:rsidRDefault="0036672D">
    <w:pPr>
      <w:pStyle w:val="Zhlav"/>
    </w:pPr>
    <w:r>
      <w:rPr>
        <w:noProof/>
      </w:rPr>
      <w:drawing>
        <wp:inline distT="0" distB="0" distL="0" distR="0">
          <wp:extent cx="5095875" cy="1238250"/>
          <wp:effectExtent l="0" t="0" r="9525" b="0"/>
          <wp:docPr id="8" name="obrázek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5875" cy="1238250"/>
                  </a:xfrm>
                  <a:prstGeom prst="rect">
                    <a:avLst/>
                  </a:prstGeom>
                  <a:noFill/>
                  <a:ln>
                    <a:noFill/>
                  </a:ln>
                </pic:spPr>
              </pic:pic>
            </a:graphicData>
          </a:graphic>
        </wp:inline>
      </w:drawing>
    </w:r>
  </w:p>
  <w:p w:rsidR="0036672D" w:rsidRDefault="0036672D">
    <w:pPr>
      <w:pStyle w:val="Zhlav"/>
    </w:pPr>
    <w:r>
      <w:t xml:space="preserve"> </w:t>
    </w:r>
  </w:p>
  <w:p w:rsidR="0036672D" w:rsidRDefault="0036672D"/>
  <w:p w:rsidR="0036672D" w:rsidRDefault="0036672D">
    <w:pP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1E1C"/>
    <w:multiLevelType w:val="singleLevel"/>
    <w:tmpl w:val="329020EE"/>
    <w:lvl w:ilvl="0">
      <w:start w:val="1"/>
      <w:numFmt w:val="bullet"/>
      <w:lvlText w:val=""/>
      <w:lvlJc w:val="left"/>
      <w:pPr>
        <w:tabs>
          <w:tab w:val="num" w:pos="360"/>
        </w:tabs>
        <w:ind w:left="360" w:hanging="360"/>
      </w:pPr>
      <w:rPr>
        <w:rFonts w:ascii="Wingdings" w:hAnsi="Wingdings" w:hint="default"/>
      </w:rPr>
    </w:lvl>
  </w:abstractNum>
  <w:abstractNum w:abstractNumId="1">
    <w:nsid w:val="0A1D2DA4"/>
    <w:multiLevelType w:val="hybridMultilevel"/>
    <w:tmpl w:val="658C2484"/>
    <w:lvl w:ilvl="0" w:tplc="ADB24DC4">
      <w:start w:val="2"/>
      <w:numFmt w:val="bullet"/>
      <w:lvlText w:val="-"/>
      <w:lvlJc w:val="left"/>
      <w:pPr>
        <w:tabs>
          <w:tab w:val="num" w:pos="720"/>
        </w:tabs>
        <w:ind w:left="720" w:hanging="720"/>
      </w:pPr>
      <w:rPr>
        <w:rFonts w:ascii="Helvetica" w:eastAsia="Times New Roman" w:hAnsi="Helvetica" w:hint="default"/>
        <w:w w:val="0"/>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Symbol" w:hAnsi="Symbol"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Symbol" w:hAnsi="Symbol"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Symbol" w:hAnsi="Symbol" w:hint="default"/>
      </w:rPr>
    </w:lvl>
  </w:abstractNum>
  <w:abstractNum w:abstractNumId="2">
    <w:nsid w:val="124C27B9"/>
    <w:multiLevelType w:val="hybridMultilevel"/>
    <w:tmpl w:val="D04A3724"/>
    <w:lvl w:ilvl="0" w:tplc="00010409">
      <w:start w:val="1"/>
      <w:numFmt w:val="bullet"/>
      <w:lvlText w:val=""/>
      <w:lvlJc w:val="left"/>
      <w:pPr>
        <w:tabs>
          <w:tab w:val="num" w:pos="720"/>
        </w:tabs>
        <w:ind w:left="720" w:hanging="360"/>
      </w:pPr>
      <w:rPr>
        <w:rFonts w:ascii="Symbol" w:hAnsi="Symbol" w:hint="default"/>
      </w:rPr>
    </w:lvl>
    <w:lvl w:ilvl="1" w:tplc="ADB24DC4">
      <w:start w:val="2"/>
      <w:numFmt w:val="bullet"/>
      <w:lvlText w:val="-"/>
      <w:lvlJc w:val="left"/>
      <w:pPr>
        <w:tabs>
          <w:tab w:val="num" w:pos="1800"/>
        </w:tabs>
        <w:ind w:left="1800" w:hanging="720"/>
      </w:pPr>
      <w:rPr>
        <w:rFonts w:ascii="Helvetica" w:eastAsia="Times New Roman" w:hAnsi="Helvetica" w:hint="default"/>
        <w:w w:val="0"/>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nsid w:val="1AF25F7B"/>
    <w:multiLevelType w:val="singleLevel"/>
    <w:tmpl w:val="04050001"/>
    <w:lvl w:ilvl="0">
      <w:numFmt w:val="bullet"/>
      <w:lvlText w:val=""/>
      <w:lvlJc w:val="left"/>
      <w:pPr>
        <w:tabs>
          <w:tab w:val="num" w:pos="360"/>
        </w:tabs>
        <w:ind w:left="360" w:hanging="360"/>
      </w:pPr>
      <w:rPr>
        <w:rFonts w:ascii="Symbol" w:hAnsi="Symbol" w:hint="default"/>
      </w:rPr>
    </w:lvl>
  </w:abstractNum>
  <w:abstractNum w:abstractNumId="4">
    <w:nsid w:val="1C1B6AD8"/>
    <w:multiLevelType w:val="hybridMultilevel"/>
    <w:tmpl w:val="6BD8AD06"/>
    <w:lvl w:ilvl="0" w:tplc="ADB24DC4">
      <w:start w:val="2"/>
      <w:numFmt w:val="bullet"/>
      <w:lvlText w:val="-"/>
      <w:lvlJc w:val="left"/>
      <w:pPr>
        <w:tabs>
          <w:tab w:val="num" w:pos="1800"/>
        </w:tabs>
        <w:ind w:left="1800" w:hanging="720"/>
      </w:pPr>
      <w:rPr>
        <w:rFonts w:ascii="Helvetica" w:eastAsia="Times New Roman" w:hAnsi="Helvetica"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5">
    <w:nsid w:val="229F6BA8"/>
    <w:multiLevelType w:val="hybridMultilevel"/>
    <w:tmpl w:val="ACA0E49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260303BB"/>
    <w:multiLevelType w:val="hybridMultilevel"/>
    <w:tmpl w:val="932C9E6E"/>
    <w:lvl w:ilvl="0" w:tplc="42161C4E">
      <w:start w:val="5"/>
      <w:numFmt w:val="bullet"/>
      <w:lvlText w:val="-"/>
      <w:lvlJc w:val="left"/>
      <w:pPr>
        <w:tabs>
          <w:tab w:val="num" w:pos="720"/>
        </w:tabs>
        <w:ind w:left="720" w:hanging="360"/>
      </w:pPr>
      <w:rPr>
        <w:rFonts w:ascii="Helvetica" w:eastAsia="Times New Roman" w:hAnsi="Helvetica"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2D26822"/>
    <w:multiLevelType w:val="hybridMultilevel"/>
    <w:tmpl w:val="4730946A"/>
    <w:lvl w:ilvl="0" w:tplc="ADB24DC4">
      <w:start w:val="2"/>
      <w:numFmt w:val="bullet"/>
      <w:lvlText w:val="-"/>
      <w:lvlJc w:val="left"/>
      <w:pPr>
        <w:tabs>
          <w:tab w:val="num" w:pos="720"/>
        </w:tabs>
        <w:ind w:left="720" w:hanging="720"/>
      </w:pPr>
      <w:rPr>
        <w:rFonts w:ascii="Helvetica" w:eastAsia="Times New Roman" w:hAnsi="Helvetica" w:hint="default"/>
        <w:w w:val="0"/>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Symbol" w:hAnsi="Symbol"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Symbol" w:hAnsi="Symbol"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Symbol" w:hAnsi="Symbol" w:hint="default"/>
      </w:rPr>
    </w:lvl>
  </w:abstractNum>
  <w:abstractNum w:abstractNumId="8">
    <w:nsid w:val="354A0617"/>
    <w:multiLevelType w:val="hybridMultilevel"/>
    <w:tmpl w:val="9D042CBE"/>
    <w:lvl w:ilvl="0" w:tplc="ADB24DC4">
      <w:start w:val="2"/>
      <w:numFmt w:val="bullet"/>
      <w:lvlText w:val="-"/>
      <w:lvlJc w:val="left"/>
      <w:pPr>
        <w:tabs>
          <w:tab w:val="num" w:pos="1800"/>
        </w:tabs>
        <w:ind w:left="1800" w:hanging="720"/>
      </w:pPr>
      <w:rPr>
        <w:rFonts w:ascii="Helvetica" w:eastAsia="Times New Roman" w:hAnsi="Helvetica"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9">
    <w:nsid w:val="377A0ED4"/>
    <w:multiLevelType w:val="hybridMultilevel"/>
    <w:tmpl w:val="099AAA20"/>
    <w:lvl w:ilvl="0" w:tplc="ADB24DC4">
      <w:start w:val="2"/>
      <w:numFmt w:val="bullet"/>
      <w:lvlText w:val="-"/>
      <w:lvlJc w:val="left"/>
      <w:pPr>
        <w:tabs>
          <w:tab w:val="num" w:pos="720"/>
        </w:tabs>
        <w:ind w:left="720" w:hanging="720"/>
      </w:pPr>
      <w:rPr>
        <w:rFonts w:ascii="Helvetica" w:eastAsia="Times New Roman" w:hAnsi="Helvetica" w:hint="default"/>
        <w:w w:val="0"/>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Symbol" w:hAnsi="Symbol"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Symbol" w:hAnsi="Symbol"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Symbol" w:hAnsi="Symbol" w:hint="default"/>
      </w:rPr>
    </w:lvl>
  </w:abstractNum>
  <w:abstractNum w:abstractNumId="10">
    <w:nsid w:val="37BF5333"/>
    <w:multiLevelType w:val="hybridMultilevel"/>
    <w:tmpl w:val="0324C882"/>
    <w:lvl w:ilvl="0" w:tplc="1B665F1A">
      <w:start w:val="10"/>
      <w:numFmt w:val="bullet"/>
      <w:lvlText w:val="-"/>
      <w:lvlJc w:val="left"/>
      <w:pPr>
        <w:tabs>
          <w:tab w:val="num" w:pos="720"/>
        </w:tabs>
        <w:ind w:left="720" w:hanging="360"/>
      </w:pPr>
      <w:rPr>
        <w:rFonts w:ascii="Helvetica" w:eastAsia="Times New Roman" w:hAnsi="Helvetic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AB857A5"/>
    <w:multiLevelType w:val="hybridMultilevel"/>
    <w:tmpl w:val="16507B20"/>
    <w:lvl w:ilvl="0" w:tplc="ADB24DC4">
      <w:start w:val="2"/>
      <w:numFmt w:val="bullet"/>
      <w:lvlText w:val="-"/>
      <w:lvlJc w:val="left"/>
      <w:pPr>
        <w:tabs>
          <w:tab w:val="num" w:pos="1800"/>
        </w:tabs>
        <w:ind w:left="1800" w:hanging="720"/>
      </w:pPr>
      <w:rPr>
        <w:rFonts w:ascii="Helvetica" w:eastAsia="Times New Roman" w:hAnsi="Helvetica"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2">
    <w:nsid w:val="3FE57511"/>
    <w:multiLevelType w:val="singleLevel"/>
    <w:tmpl w:val="329020EE"/>
    <w:lvl w:ilvl="0">
      <w:start w:val="1"/>
      <w:numFmt w:val="bullet"/>
      <w:lvlText w:val=""/>
      <w:lvlJc w:val="left"/>
      <w:pPr>
        <w:tabs>
          <w:tab w:val="num" w:pos="360"/>
        </w:tabs>
        <w:ind w:left="360" w:hanging="360"/>
      </w:pPr>
      <w:rPr>
        <w:rFonts w:ascii="Wingdings" w:hAnsi="Wingdings" w:hint="default"/>
      </w:rPr>
    </w:lvl>
  </w:abstractNum>
  <w:abstractNum w:abstractNumId="13">
    <w:nsid w:val="4F85703E"/>
    <w:multiLevelType w:val="singleLevel"/>
    <w:tmpl w:val="AC445524"/>
    <w:lvl w:ilvl="0">
      <w:numFmt w:val="bullet"/>
      <w:lvlText w:val="-"/>
      <w:lvlJc w:val="left"/>
      <w:pPr>
        <w:tabs>
          <w:tab w:val="num" w:pos="435"/>
        </w:tabs>
        <w:ind w:left="435" w:hanging="360"/>
      </w:pPr>
      <w:rPr>
        <w:rFonts w:hint="default"/>
      </w:rPr>
    </w:lvl>
  </w:abstractNum>
  <w:abstractNum w:abstractNumId="14">
    <w:nsid w:val="57935F7B"/>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587E213B"/>
    <w:multiLevelType w:val="hybridMultilevel"/>
    <w:tmpl w:val="A5BEF8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5D473FBD"/>
    <w:multiLevelType w:val="hybridMultilevel"/>
    <w:tmpl w:val="D996CF0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17">
    <w:nsid w:val="5E81474B"/>
    <w:multiLevelType w:val="hybridMultilevel"/>
    <w:tmpl w:val="E7569166"/>
    <w:lvl w:ilvl="0" w:tplc="00010409">
      <w:start w:val="1"/>
      <w:numFmt w:val="bullet"/>
      <w:lvlText w:val=""/>
      <w:lvlJc w:val="left"/>
      <w:pPr>
        <w:tabs>
          <w:tab w:val="num" w:pos="720"/>
        </w:tabs>
        <w:ind w:left="720" w:hanging="360"/>
      </w:pPr>
      <w:rPr>
        <w:rFonts w:ascii="Symbol" w:hAnsi="Symbol" w:hint="default"/>
      </w:rPr>
    </w:lvl>
    <w:lvl w:ilvl="1" w:tplc="ADB24DC4">
      <w:start w:val="2"/>
      <w:numFmt w:val="bullet"/>
      <w:lvlText w:val="-"/>
      <w:lvlJc w:val="left"/>
      <w:pPr>
        <w:tabs>
          <w:tab w:val="num" w:pos="1800"/>
        </w:tabs>
        <w:ind w:left="1800" w:hanging="720"/>
      </w:pPr>
      <w:rPr>
        <w:rFonts w:ascii="Helvetica" w:eastAsia="Times New Roman" w:hAnsi="Helvetica" w:hint="default"/>
        <w:w w:val="0"/>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8">
    <w:nsid w:val="69E24C38"/>
    <w:multiLevelType w:val="singleLevel"/>
    <w:tmpl w:val="AC4A406A"/>
    <w:lvl w:ilvl="0">
      <w:start w:val="1"/>
      <w:numFmt w:val="decimal"/>
      <w:lvlText w:val="%1)"/>
      <w:lvlJc w:val="left"/>
      <w:pPr>
        <w:tabs>
          <w:tab w:val="num" w:pos="435"/>
        </w:tabs>
        <w:ind w:left="435" w:hanging="360"/>
      </w:pPr>
      <w:rPr>
        <w:rFonts w:cs="Times New Roman" w:hint="default"/>
      </w:rPr>
    </w:lvl>
  </w:abstractNum>
  <w:abstractNum w:abstractNumId="19">
    <w:nsid w:val="7353086F"/>
    <w:multiLevelType w:val="hybridMultilevel"/>
    <w:tmpl w:val="5F66669A"/>
    <w:lvl w:ilvl="0" w:tplc="00190409">
      <w:start w:val="1"/>
      <w:numFmt w:val="lowerLetter"/>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3"/>
  </w:num>
  <w:num w:numId="2">
    <w:abstractNumId w:val="13"/>
  </w:num>
  <w:num w:numId="3">
    <w:abstractNumId w:val="18"/>
  </w:num>
  <w:num w:numId="4">
    <w:abstractNumId w:val="12"/>
  </w:num>
  <w:num w:numId="5">
    <w:abstractNumId w:val="0"/>
  </w:num>
  <w:num w:numId="6">
    <w:abstractNumId w:val="1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16"/>
  </w:num>
  <w:num w:numId="11">
    <w:abstractNumId w:val="2"/>
  </w:num>
  <w:num w:numId="12">
    <w:abstractNumId w:val="17"/>
  </w:num>
  <w:num w:numId="13">
    <w:abstractNumId w:val="8"/>
  </w:num>
  <w:num w:numId="14">
    <w:abstractNumId w:val="11"/>
  </w:num>
  <w:num w:numId="15">
    <w:abstractNumId w:val="9"/>
  </w:num>
  <w:num w:numId="16">
    <w:abstractNumId w:val="1"/>
  </w:num>
  <w:num w:numId="17">
    <w:abstractNumId w:val="4"/>
  </w:num>
  <w:num w:numId="18">
    <w:abstractNumId w:val="7"/>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B72"/>
    <w:rsid w:val="00001541"/>
    <w:rsid w:val="0001351C"/>
    <w:rsid w:val="00013D9D"/>
    <w:rsid w:val="00014B19"/>
    <w:rsid w:val="00022920"/>
    <w:rsid w:val="00022F41"/>
    <w:rsid w:val="0002308E"/>
    <w:rsid w:val="00023EE1"/>
    <w:rsid w:val="00024601"/>
    <w:rsid w:val="00027FAF"/>
    <w:rsid w:val="0003131E"/>
    <w:rsid w:val="000323B5"/>
    <w:rsid w:val="000342CE"/>
    <w:rsid w:val="0003450E"/>
    <w:rsid w:val="00035AC4"/>
    <w:rsid w:val="00041D0B"/>
    <w:rsid w:val="00044BD7"/>
    <w:rsid w:val="00045269"/>
    <w:rsid w:val="00051988"/>
    <w:rsid w:val="000525FC"/>
    <w:rsid w:val="00054404"/>
    <w:rsid w:val="00067E15"/>
    <w:rsid w:val="0007626B"/>
    <w:rsid w:val="000775AD"/>
    <w:rsid w:val="000911E3"/>
    <w:rsid w:val="0009392F"/>
    <w:rsid w:val="000939E7"/>
    <w:rsid w:val="00094F5D"/>
    <w:rsid w:val="00095A53"/>
    <w:rsid w:val="00095AA3"/>
    <w:rsid w:val="000A09D9"/>
    <w:rsid w:val="000A4294"/>
    <w:rsid w:val="000A5D3D"/>
    <w:rsid w:val="000A65E7"/>
    <w:rsid w:val="000A7304"/>
    <w:rsid w:val="000A73DE"/>
    <w:rsid w:val="000B7F91"/>
    <w:rsid w:val="000C411F"/>
    <w:rsid w:val="000C5DA7"/>
    <w:rsid w:val="000D08BC"/>
    <w:rsid w:val="000E3782"/>
    <w:rsid w:val="000E4E84"/>
    <w:rsid w:val="000E6AF5"/>
    <w:rsid w:val="000E7CC9"/>
    <w:rsid w:val="001024D0"/>
    <w:rsid w:val="00104696"/>
    <w:rsid w:val="001055F1"/>
    <w:rsid w:val="00107B1D"/>
    <w:rsid w:val="00110AA4"/>
    <w:rsid w:val="00111D60"/>
    <w:rsid w:val="0011448D"/>
    <w:rsid w:val="001203C0"/>
    <w:rsid w:val="00123E39"/>
    <w:rsid w:val="00127CBC"/>
    <w:rsid w:val="001315BC"/>
    <w:rsid w:val="00131B9A"/>
    <w:rsid w:val="00135D5F"/>
    <w:rsid w:val="001430A3"/>
    <w:rsid w:val="00160B23"/>
    <w:rsid w:val="00183F29"/>
    <w:rsid w:val="00184286"/>
    <w:rsid w:val="001846E5"/>
    <w:rsid w:val="00187759"/>
    <w:rsid w:val="0019190B"/>
    <w:rsid w:val="0019424A"/>
    <w:rsid w:val="001A14D7"/>
    <w:rsid w:val="001A4EC3"/>
    <w:rsid w:val="001A57B7"/>
    <w:rsid w:val="001B525C"/>
    <w:rsid w:val="001D015A"/>
    <w:rsid w:val="001D0EA9"/>
    <w:rsid w:val="001E5B8C"/>
    <w:rsid w:val="001F2B22"/>
    <w:rsid w:val="001F3657"/>
    <w:rsid w:val="001F3B44"/>
    <w:rsid w:val="001F476C"/>
    <w:rsid w:val="001F5F3D"/>
    <w:rsid w:val="001F7BEB"/>
    <w:rsid w:val="00205D49"/>
    <w:rsid w:val="0022692A"/>
    <w:rsid w:val="00230C3A"/>
    <w:rsid w:val="002434F4"/>
    <w:rsid w:val="00243C93"/>
    <w:rsid w:val="00244611"/>
    <w:rsid w:val="00251786"/>
    <w:rsid w:val="002528BC"/>
    <w:rsid w:val="00260206"/>
    <w:rsid w:val="00261442"/>
    <w:rsid w:val="00265405"/>
    <w:rsid w:val="00276E9B"/>
    <w:rsid w:val="002779C3"/>
    <w:rsid w:val="002834FA"/>
    <w:rsid w:val="00284417"/>
    <w:rsid w:val="002864E6"/>
    <w:rsid w:val="00294102"/>
    <w:rsid w:val="002A342C"/>
    <w:rsid w:val="002B3FC8"/>
    <w:rsid w:val="002C2086"/>
    <w:rsid w:val="002C4DF9"/>
    <w:rsid w:val="002C61BA"/>
    <w:rsid w:val="002D0254"/>
    <w:rsid w:val="002D141C"/>
    <w:rsid w:val="002D2BFD"/>
    <w:rsid w:val="002E1AB3"/>
    <w:rsid w:val="002E3D60"/>
    <w:rsid w:val="002E6E81"/>
    <w:rsid w:val="002E6F06"/>
    <w:rsid w:val="00303C83"/>
    <w:rsid w:val="003041BB"/>
    <w:rsid w:val="00306065"/>
    <w:rsid w:val="00312B78"/>
    <w:rsid w:val="00322BAB"/>
    <w:rsid w:val="00322F1D"/>
    <w:rsid w:val="00330FDC"/>
    <w:rsid w:val="0033302F"/>
    <w:rsid w:val="00344592"/>
    <w:rsid w:val="00345AD4"/>
    <w:rsid w:val="00352EF5"/>
    <w:rsid w:val="00356A07"/>
    <w:rsid w:val="00360F63"/>
    <w:rsid w:val="00364585"/>
    <w:rsid w:val="00365CA0"/>
    <w:rsid w:val="0036672D"/>
    <w:rsid w:val="00371CF9"/>
    <w:rsid w:val="00372673"/>
    <w:rsid w:val="00372D34"/>
    <w:rsid w:val="00373402"/>
    <w:rsid w:val="00374648"/>
    <w:rsid w:val="00376D51"/>
    <w:rsid w:val="00377C85"/>
    <w:rsid w:val="00382359"/>
    <w:rsid w:val="0038266F"/>
    <w:rsid w:val="00385A31"/>
    <w:rsid w:val="00385ABB"/>
    <w:rsid w:val="003862FD"/>
    <w:rsid w:val="003868DB"/>
    <w:rsid w:val="00390917"/>
    <w:rsid w:val="00390F04"/>
    <w:rsid w:val="00390F42"/>
    <w:rsid w:val="003919CB"/>
    <w:rsid w:val="003921F5"/>
    <w:rsid w:val="00392516"/>
    <w:rsid w:val="00394CCB"/>
    <w:rsid w:val="003962BC"/>
    <w:rsid w:val="003A0682"/>
    <w:rsid w:val="003A45B9"/>
    <w:rsid w:val="003A49A3"/>
    <w:rsid w:val="003A70DD"/>
    <w:rsid w:val="003B0D97"/>
    <w:rsid w:val="003C0DBA"/>
    <w:rsid w:val="003C35B2"/>
    <w:rsid w:val="003C6405"/>
    <w:rsid w:val="003D4B97"/>
    <w:rsid w:val="003E2225"/>
    <w:rsid w:val="003E4290"/>
    <w:rsid w:val="003E49D5"/>
    <w:rsid w:val="003E57D6"/>
    <w:rsid w:val="003F55AD"/>
    <w:rsid w:val="003F644A"/>
    <w:rsid w:val="003F6EB0"/>
    <w:rsid w:val="00407217"/>
    <w:rsid w:val="00407459"/>
    <w:rsid w:val="00407908"/>
    <w:rsid w:val="00414A20"/>
    <w:rsid w:val="00421603"/>
    <w:rsid w:val="00425E84"/>
    <w:rsid w:val="00426F16"/>
    <w:rsid w:val="0043202C"/>
    <w:rsid w:val="00432AE0"/>
    <w:rsid w:val="00437FF3"/>
    <w:rsid w:val="004402FD"/>
    <w:rsid w:val="0044269D"/>
    <w:rsid w:val="004456F5"/>
    <w:rsid w:val="00445C33"/>
    <w:rsid w:val="0045343D"/>
    <w:rsid w:val="00454635"/>
    <w:rsid w:val="00457EF3"/>
    <w:rsid w:val="00462381"/>
    <w:rsid w:val="0046615B"/>
    <w:rsid w:val="00481530"/>
    <w:rsid w:val="00491E07"/>
    <w:rsid w:val="00495EA4"/>
    <w:rsid w:val="004962A7"/>
    <w:rsid w:val="00496A5F"/>
    <w:rsid w:val="00497582"/>
    <w:rsid w:val="004A0037"/>
    <w:rsid w:val="004A1257"/>
    <w:rsid w:val="004A3A21"/>
    <w:rsid w:val="004A41C3"/>
    <w:rsid w:val="004A6519"/>
    <w:rsid w:val="004A7A5E"/>
    <w:rsid w:val="004B1095"/>
    <w:rsid w:val="004B75A2"/>
    <w:rsid w:val="004C2D28"/>
    <w:rsid w:val="004C440C"/>
    <w:rsid w:val="004C6989"/>
    <w:rsid w:val="004D1BE9"/>
    <w:rsid w:val="004D7F8C"/>
    <w:rsid w:val="004E24D6"/>
    <w:rsid w:val="004E2C43"/>
    <w:rsid w:val="004F6ACF"/>
    <w:rsid w:val="00506C94"/>
    <w:rsid w:val="00522D50"/>
    <w:rsid w:val="005235BC"/>
    <w:rsid w:val="005235D9"/>
    <w:rsid w:val="00524B5F"/>
    <w:rsid w:val="0052690C"/>
    <w:rsid w:val="005449D6"/>
    <w:rsid w:val="0055017D"/>
    <w:rsid w:val="00561343"/>
    <w:rsid w:val="00562C6E"/>
    <w:rsid w:val="00567071"/>
    <w:rsid w:val="00572BED"/>
    <w:rsid w:val="00572C4E"/>
    <w:rsid w:val="005755D8"/>
    <w:rsid w:val="00575661"/>
    <w:rsid w:val="00581115"/>
    <w:rsid w:val="0058209C"/>
    <w:rsid w:val="00582FD5"/>
    <w:rsid w:val="005850CE"/>
    <w:rsid w:val="00585452"/>
    <w:rsid w:val="00585C0F"/>
    <w:rsid w:val="00587DAB"/>
    <w:rsid w:val="005909AD"/>
    <w:rsid w:val="0059489E"/>
    <w:rsid w:val="005A14A1"/>
    <w:rsid w:val="005A2109"/>
    <w:rsid w:val="005A652E"/>
    <w:rsid w:val="005A6F73"/>
    <w:rsid w:val="005B1216"/>
    <w:rsid w:val="005B1637"/>
    <w:rsid w:val="005B3B1F"/>
    <w:rsid w:val="005B7667"/>
    <w:rsid w:val="005C2DC0"/>
    <w:rsid w:val="005C5DA0"/>
    <w:rsid w:val="005C60C4"/>
    <w:rsid w:val="005D095A"/>
    <w:rsid w:val="005D27E8"/>
    <w:rsid w:val="005D3CDF"/>
    <w:rsid w:val="005D49A5"/>
    <w:rsid w:val="005E4671"/>
    <w:rsid w:val="005E4F84"/>
    <w:rsid w:val="005F5ACC"/>
    <w:rsid w:val="005F67E9"/>
    <w:rsid w:val="005F6C51"/>
    <w:rsid w:val="00600A30"/>
    <w:rsid w:val="00602F62"/>
    <w:rsid w:val="00610168"/>
    <w:rsid w:val="00610C0E"/>
    <w:rsid w:val="00616718"/>
    <w:rsid w:val="00621594"/>
    <w:rsid w:val="00622966"/>
    <w:rsid w:val="006314C1"/>
    <w:rsid w:val="0064005B"/>
    <w:rsid w:val="00644946"/>
    <w:rsid w:val="00653B24"/>
    <w:rsid w:val="00653F02"/>
    <w:rsid w:val="00654317"/>
    <w:rsid w:val="00673E1E"/>
    <w:rsid w:val="00676666"/>
    <w:rsid w:val="00685774"/>
    <w:rsid w:val="00692C6D"/>
    <w:rsid w:val="00695A97"/>
    <w:rsid w:val="006A0E0C"/>
    <w:rsid w:val="006A0FB9"/>
    <w:rsid w:val="006A1775"/>
    <w:rsid w:val="006A48DA"/>
    <w:rsid w:val="006A6791"/>
    <w:rsid w:val="006B2AFD"/>
    <w:rsid w:val="006B65E0"/>
    <w:rsid w:val="006C0C94"/>
    <w:rsid w:val="006C1573"/>
    <w:rsid w:val="006C3536"/>
    <w:rsid w:val="006C5241"/>
    <w:rsid w:val="006C56AF"/>
    <w:rsid w:val="006C7183"/>
    <w:rsid w:val="006D1168"/>
    <w:rsid w:val="006D5DDD"/>
    <w:rsid w:val="00700C90"/>
    <w:rsid w:val="00712AA4"/>
    <w:rsid w:val="00714A81"/>
    <w:rsid w:val="00717189"/>
    <w:rsid w:val="00721EC8"/>
    <w:rsid w:val="00722D1E"/>
    <w:rsid w:val="0072799D"/>
    <w:rsid w:val="00732645"/>
    <w:rsid w:val="00734E70"/>
    <w:rsid w:val="0074508E"/>
    <w:rsid w:val="007524F0"/>
    <w:rsid w:val="0075327A"/>
    <w:rsid w:val="007573B2"/>
    <w:rsid w:val="00764672"/>
    <w:rsid w:val="00771DED"/>
    <w:rsid w:val="0077562E"/>
    <w:rsid w:val="007758F0"/>
    <w:rsid w:val="0077625A"/>
    <w:rsid w:val="00777147"/>
    <w:rsid w:val="007846E7"/>
    <w:rsid w:val="007936CF"/>
    <w:rsid w:val="00793EA6"/>
    <w:rsid w:val="007A3360"/>
    <w:rsid w:val="007B1C0D"/>
    <w:rsid w:val="007B6CD3"/>
    <w:rsid w:val="007C5D92"/>
    <w:rsid w:val="007C7BE3"/>
    <w:rsid w:val="007D0306"/>
    <w:rsid w:val="007D2ABE"/>
    <w:rsid w:val="007D3017"/>
    <w:rsid w:val="007D3122"/>
    <w:rsid w:val="007D4356"/>
    <w:rsid w:val="007D51AB"/>
    <w:rsid w:val="007E0E5F"/>
    <w:rsid w:val="007E1383"/>
    <w:rsid w:val="007E6F20"/>
    <w:rsid w:val="007F24CD"/>
    <w:rsid w:val="008010F4"/>
    <w:rsid w:val="008022B6"/>
    <w:rsid w:val="008022CA"/>
    <w:rsid w:val="008053E8"/>
    <w:rsid w:val="00812609"/>
    <w:rsid w:val="008163DA"/>
    <w:rsid w:val="00821071"/>
    <w:rsid w:val="00822DB6"/>
    <w:rsid w:val="0083236C"/>
    <w:rsid w:val="00833600"/>
    <w:rsid w:val="00834B09"/>
    <w:rsid w:val="00852F10"/>
    <w:rsid w:val="0085410E"/>
    <w:rsid w:val="00870874"/>
    <w:rsid w:val="008717CD"/>
    <w:rsid w:val="0087606E"/>
    <w:rsid w:val="00877AFF"/>
    <w:rsid w:val="0088137B"/>
    <w:rsid w:val="00882A6F"/>
    <w:rsid w:val="00891AE1"/>
    <w:rsid w:val="00891B05"/>
    <w:rsid w:val="00897279"/>
    <w:rsid w:val="008A020B"/>
    <w:rsid w:val="008A65D2"/>
    <w:rsid w:val="008B3F5A"/>
    <w:rsid w:val="008B5DEC"/>
    <w:rsid w:val="008C4270"/>
    <w:rsid w:val="008C6D27"/>
    <w:rsid w:val="008E5B84"/>
    <w:rsid w:val="008E7E03"/>
    <w:rsid w:val="008F1F21"/>
    <w:rsid w:val="008F2270"/>
    <w:rsid w:val="008F5367"/>
    <w:rsid w:val="008F73C5"/>
    <w:rsid w:val="009013F1"/>
    <w:rsid w:val="00907578"/>
    <w:rsid w:val="00914769"/>
    <w:rsid w:val="009267F8"/>
    <w:rsid w:val="00943B33"/>
    <w:rsid w:val="00943E1A"/>
    <w:rsid w:val="00946B0E"/>
    <w:rsid w:val="00960250"/>
    <w:rsid w:val="00966DCC"/>
    <w:rsid w:val="00972C26"/>
    <w:rsid w:val="009753C8"/>
    <w:rsid w:val="0097743F"/>
    <w:rsid w:val="00977F2D"/>
    <w:rsid w:val="00992CBB"/>
    <w:rsid w:val="00993EE8"/>
    <w:rsid w:val="00996986"/>
    <w:rsid w:val="00996C1B"/>
    <w:rsid w:val="009B079D"/>
    <w:rsid w:val="009B0BB8"/>
    <w:rsid w:val="009B10B2"/>
    <w:rsid w:val="009C09A8"/>
    <w:rsid w:val="009D6343"/>
    <w:rsid w:val="009D6610"/>
    <w:rsid w:val="009E08C3"/>
    <w:rsid w:val="009E4D0A"/>
    <w:rsid w:val="009E559E"/>
    <w:rsid w:val="009E5D6F"/>
    <w:rsid w:val="009E5F89"/>
    <w:rsid w:val="009F15C0"/>
    <w:rsid w:val="009F7E5E"/>
    <w:rsid w:val="00A01417"/>
    <w:rsid w:val="00A01FC0"/>
    <w:rsid w:val="00A068F4"/>
    <w:rsid w:val="00A06F7B"/>
    <w:rsid w:val="00A138CF"/>
    <w:rsid w:val="00A16186"/>
    <w:rsid w:val="00A17653"/>
    <w:rsid w:val="00A22DAA"/>
    <w:rsid w:val="00A2397A"/>
    <w:rsid w:val="00A34063"/>
    <w:rsid w:val="00A3480D"/>
    <w:rsid w:val="00A4354C"/>
    <w:rsid w:val="00A50A6A"/>
    <w:rsid w:val="00A54DDA"/>
    <w:rsid w:val="00A66FFE"/>
    <w:rsid w:val="00A70097"/>
    <w:rsid w:val="00A72707"/>
    <w:rsid w:val="00A72EBE"/>
    <w:rsid w:val="00A81577"/>
    <w:rsid w:val="00A81DE4"/>
    <w:rsid w:val="00A82FBC"/>
    <w:rsid w:val="00A83147"/>
    <w:rsid w:val="00A83AEC"/>
    <w:rsid w:val="00A8403F"/>
    <w:rsid w:val="00A84DDF"/>
    <w:rsid w:val="00A939A1"/>
    <w:rsid w:val="00A9560E"/>
    <w:rsid w:val="00A95FF5"/>
    <w:rsid w:val="00A975CA"/>
    <w:rsid w:val="00AA4628"/>
    <w:rsid w:val="00AB4D9C"/>
    <w:rsid w:val="00AC4775"/>
    <w:rsid w:val="00AC6EAD"/>
    <w:rsid w:val="00AC7152"/>
    <w:rsid w:val="00AE4AB0"/>
    <w:rsid w:val="00AF2B3E"/>
    <w:rsid w:val="00AF3A59"/>
    <w:rsid w:val="00AF5DA3"/>
    <w:rsid w:val="00B009A0"/>
    <w:rsid w:val="00B03FC9"/>
    <w:rsid w:val="00B04749"/>
    <w:rsid w:val="00B11C02"/>
    <w:rsid w:val="00B157E0"/>
    <w:rsid w:val="00B16744"/>
    <w:rsid w:val="00B21811"/>
    <w:rsid w:val="00B24429"/>
    <w:rsid w:val="00B266BE"/>
    <w:rsid w:val="00B314B8"/>
    <w:rsid w:val="00B36FD7"/>
    <w:rsid w:val="00B43819"/>
    <w:rsid w:val="00B50801"/>
    <w:rsid w:val="00B50E8D"/>
    <w:rsid w:val="00B51459"/>
    <w:rsid w:val="00B72BE1"/>
    <w:rsid w:val="00B76020"/>
    <w:rsid w:val="00B80B4A"/>
    <w:rsid w:val="00B8447C"/>
    <w:rsid w:val="00B92CE8"/>
    <w:rsid w:val="00B93A63"/>
    <w:rsid w:val="00B97074"/>
    <w:rsid w:val="00BA0004"/>
    <w:rsid w:val="00BA1504"/>
    <w:rsid w:val="00BA474F"/>
    <w:rsid w:val="00BA70B5"/>
    <w:rsid w:val="00BC02C2"/>
    <w:rsid w:val="00BC4B41"/>
    <w:rsid w:val="00BC6F8C"/>
    <w:rsid w:val="00BC7AE8"/>
    <w:rsid w:val="00BD200C"/>
    <w:rsid w:val="00BD3D4E"/>
    <w:rsid w:val="00BE06AE"/>
    <w:rsid w:val="00BE2BC5"/>
    <w:rsid w:val="00BE61A3"/>
    <w:rsid w:val="00BE749F"/>
    <w:rsid w:val="00BF2754"/>
    <w:rsid w:val="00BF7FA7"/>
    <w:rsid w:val="00C022F7"/>
    <w:rsid w:val="00C04725"/>
    <w:rsid w:val="00C11615"/>
    <w:rsid w:val="00C15793"/>
    <w:rsid w:val="00C16F2F"/>
    <w:rsid w:val="00C26735"/>
    <w:rsid w:val="00C32C76"/>
    <w:rsid w:val="00C32D1A"/>
    <w:rsid w:val="00C408DB"/>
    <w:rsid w:val="00C434DB"/>
    <w:rsid w:val="00C45258"/>
    <w:rsid w:val="00C4753B"/>
    <w:rsid w:val="00C52520"/>
    <w:rsid w:val="00C53A2B"/>
    <w:rsid w:val="00C61EBF"/>
    <w:rsid w:val="00C62CA3"/>
    <w:rsid w:val="00C718AE"/>
    <w:rsid w:val="00C807EA"/>
    <w:rsid w:val="00C82C78"/>
    <w:rsid w:val="00C959CB"/>
    <w:rsid w:val="00C97824"/>
    <w:rsid w:val="00CA7ACB"/>
    <w:rsid w:val="00CB2AE9"/>
    <w:rsid w:val="00CB2D5A"/>
    <w:rsid w:val="00CB734C"/>
    <w:rsid w:val="00CC5D27"/>
    <w:rsid w:val="00CD0123"/>
    <w:rsid w:val="00CD4B1E"/>
    <w:rsid w:val="00CE3EA8"/>
    <w:rsid w:val="00CF0A0C"/>
    <w:rsid w:val="00CF39EB"/>
    <w:rsid w:val="00CF4015"/>
    <w:rsid w:val="00D01AB1"/>
    <w:rsid w:val="00D02BBF"/>
    <w:rsid w:val="00D0528D"/>
    <w:rsid w:val="00D10952"/>
    <w:rsid w:val="00D110A5"/>
    <w:rsid w:val="00D2089D"/>
    <w:rsid w:val="00D21375"/>
    <w:rsid w:val="00D216CC"/>
    <w:rsid w:val="00D24B1D"/>
    <w:rsid w:val="00D277D6"/>
    <w:rsid w:val="00D301E1"/>
    <w:rsid w:val="00D31A57"/>
    <w:rsid w:val="00D47A5A"/>
    <w:rsid w:val="00D526D0"/>
    <w:rsid w:val="00D54093"/>
    <w:rsid w:val="00D70BF9"/>
    <w:rsid w:val="00D73B9C"/>
    <w:rsid w:val="00D808AE"/>
    <w:rsid w:val="00D83F3D"/>
    <w:rsid w:val="00D85527"/>
    <w:rsid w:val="00D902B2"/>
    <w:rsid w:val="00D94E65"/>
    <w:rsid w:val="00D97458"/>
    <w:rsid w:val="00DA0041"/>
    <w:rsid w:val="00DA0290"/>
    <w:rsid w:val="00DA3D4C"/>
    <w:rsid w:val="00DA4A2D"/>
    <w:rsid w:val="00DB2582"/>
    <w:rsid w:val="00DB5BDE"/>
    <w:rsid w:val="00DC0B1D"/>
    <w:rsid w:val="00DC37F5"/>
    <w:rsid w:val="00DC6969"/>
    <w:rsid w:val="00DD3C3A"/>
    <w:rsid w:val="00DD77A6"/>
    <w:rsid w:val="00DE18F2"/>
    <w:rsid w:val="00DE1DC0"/>
    <w:rsid w:val="00DE4F7E"/>
    <w:rsid w:val="00E03015"/>
    <w:rsid w:val="00E04D51"/>
    <w:rsid w:val="00E05E3B"/>
    <w:rsid w:val="00E13472"/>
    <w:rsid w:val="00E14A08"/>
    <w:rsid w:val="00E24184"/>
    <w:rsid w:val="00E35EF9"/>
    <w:rsid w:val="00E37961"/>
    <w:rsid w:val="00E42168"/>
    <w:rsid w:val="00E464C0"/>
    <w:rsid w:val="00E472AA"/>
    <w:rsid w:val="00E56C40"/>
    <w:rsid w:val="00E6028F"/>
    <w:rsid w:val="00E65D5A"/>
    <w:rsid w:val="00E7187D"/>
    <w:rsid w:val="00E718EB"/>
    <w:rsid w:val="00E72755"/>
    <w:rsid w:val="00E828C5"/>
    <w:rsid w:val="00E85F4C"/>
    <w:rsid w:val="00E918A2"/>
    <w:rsid w:val="00E953A9"/>
    <w:rsid w:val="00E96DC9"/>
    <w:rsid w:val="00EA544E"/>
    <w:rsid w:val="00EA5E99"/>
    <w:rsid w:val="00EA79F1"/>
    <w:rsid w:val="00EB2890"/>
    <w:rsid w:val="00EC1653"/>
    <w:rsid w:val="00EC58D0"/>
    <w:rsid w:val="00EC6056"/>
    <w:rsid w:val="00ED03C2"/>
    <w:rsid w:val="00ED4747"/>
    <w:rsid w:val="00EE1593"/>
    <w:rsid w:val="00EE5E33"/>
    <w:rsid w:val="00EF0AA4"/>
    <w:rsid w:val="00EF12C2"/>
    <w:rsid w:val="00EF276E"/>
    <w:rsid w:val="00EF27F9"/>
    <w:rsid w:val="00EF3BC8"/>
    <w:rsid w:val="00F04C6B"/>
    <w:rsid w:val="00F06097"/>
    <w:rsid w:val="00F122B5"/>
    <w:rsid w:val="00F16201"/>
    <w:rsid w:val="00F22660"/>
    <w:rsid w:val="00F23A98"/>
    <w:rsid w:val="00F27460"/>
    <w:rsid w:val="00F30782"/>
    <w:rsid w:val="00F32488"/>
    <w:rsid w:val="00F3597F"/>
    <w:rsid w:val="00F431CE"/>
    <w:rsid w:val="00F52BB2"/>
    <w:rsid w:val="00F56FEE"/>
    <w:rsid w:val="00F61B72"/>
    <w:rsid w:val="00F63A56"/>
    <w:rsid w:val="00F66AEE"/>
    <w:rsid w:val="00F71B51"/>
    <w:rsid w:val="00F73B19"/>
    <w:rsid w:val="00F80119"/>
    <w:rsid w:val="00F811AA"/>
    <w:rsid w:val="00F81DF1"/>
    <w:rsid w:val="00F8583D"/>
    <w:rsid w:val="00F85955"/>
    <w:rsid w:val="00F87D08"/>
    <w:rsid w:val="00F925E5"/>
    <w:rsid w:val="00F9652B"/>
    <w:rsid w:val="00FA21B2"/>
    <w:rsid w:val="00FA6B6C"/>
    <w:rsid w:val="00FB50CD"/>
    <w:rsid w:val="00FB71DC"/>
    <w:rsid w:val="00FC17FC"/>
    <w:rsid w:val="00FC70A8"/>
    <w:rsid w:val="00FC7EB9"/>
    <w:rsid w:val="00FD026D"/>
    <w:rsid w:val="00FD1A4E"/>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ans Serif" w:eastAsia="Times New Roman" w:hAnsi="MS Sans Serif"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22CA"/>
    <w:rPr>
      <w:sz w:val="20"/>
      <w:szCs w:val="20"/>
    </w:rPr>
  </w:style>
  <w:style w:type="paragraph" w:styleId="Nadpis1">
    <w:name w:val="heading 1"/>
    <w:basedOn w:val="Normln"/>
    <w:next w:val="Normln"/>
    <w:link w:val="Nadpis1Char"/>
    <w:uiPriority w:val="99"/>
    <w:qFormat/>
    <w:rsid w:val="008022CA"/>
    <w:pPr>
      <w:keepNext/>
      <w:outlineLvl w:val="0"/>
    </w:pPr>
    <w:rPr>
      <w:rFonts w:ascii="Times New Roman" w:hAnsi="Times New Roman"/>
      <w:b/>
      <w:sz w:val="24"/>
    </w:rPr>
  </w:style>
  <w:style w:type="paragraph" w:styleId="Nadpis2">
    <w:name w:val="heading 2"/>
    <w:basedOn w:val="Normln"/>
    <w:next w:val="Normln"/>
    <w:link w:val="Nadpis2Char"/>
    <w:uiPriority w:val="99"/>
    <w:qFormat/>
    <w:rsid w:val="008022CA"/>
    <w:pPr>
      <w:keepNext/>
      <w:outlineLvl w:val="1"/>
    </w:pPr>
    <w:rPr>
      <w:rFonts w:ascii="Times New Roman" w:hAnsi="Times New Roman"/>
      <w:b/>
      <w:sz w:val="32"/>
    </w:rPr>
  </w:style>
  <w:style w:type="paragraph" w:styleId="Nadpis3">
    <w:name w:val="heading 3"/>
    <w:basedOn w:val="Normln"/>
    <w:next w:val="Normln"/>
    <w:link w:val="Nadpis3Char"/>
    <w:uiPriority w:val="99"/>
    <w:qFormat/>
    <w:rsid w:val="008022CA"/>
    <w:pPr>
      <w:keepNext/>
      <w:outlineLvl w:val="2"/>
    </w:pPr>
    <w:rPr>
      <w:rFonts w:ascii="Times New Roman" w:hAnsi="Times New Roman"/>
      <w:b/>
      <w:sz w:val="28"/>
    </w:rPr>
  </w:style>
  <w:style w:type="paragraph" w:styleId="Nadpis4">
    <w:name w:val="heading 4"/>
    <w:basedOn w:val="Normln"/>
    <w:next w:val="Normln"/>
    <w:link w:val="Nadpis4Char"/>
    <w:uiPriority w:val="99"/>
    <w:qFormat/>
    <w:rsid w:val="00377C85"/>
    <w:pPr>
      <w:keepNext/>
      <w:spacing w:before="240" w:after="60"/>
      <w:outlineLvl w:val="3"/>
    </w:pPr>
    <w:rPr>
      <w:rFonts w:ascii="Times New Roman" w:hAnsi="Times New Roman"/>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paragraph" w:styleId="Zkladntext">
    <w:name w:val="Body Text"/>
    <w:basedOn w:val="Normln"/>
    <w:link w:val="ZkladntextChar"/>
    <w:uiPriority w:val="99"/>
    <w:rsid w:val="008022CA"/>
    <w:pPr>
      <w:ind w:right="-851"/>
    </w:pPr>
    <w:rPr>
      <w:rFonts w:ascii="Times New Roman" w:hAnsi="Times New Roman"/>
      <w:sz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8022CA"/>
    <w:rPr>
      <w:rFonts w:cs="Times New Roman"/>
      <w:color w:val="0000FF"/>
      <w:u w:val="single"/>
    </w:rPr>
  </w:style>
  <w:style w:type="paragraph" w:styleId="Zkladntext2">
    <w:name w:val="Body Text 2"/>
    <w:basedOn w:val="Normln"/>
    <w:link w:val="Zkladntext2Char"/>
    <w:uiPriority w:val="99"/>
    <w:rsid w:val="008022CA"/>
    <w:pPr>
      <w:ind w:right="-851"/>
      <w:jc w:val="both"/>
    </w:pPr>
    <w:rPr>
      <w:rFonts w:ascii="Times New Roman" w:hAnsi="Times New Roman"/>
      <w:sz w:val="3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Textvbloku">
    <w:name w:val="Block Text"/>
    <w:basedOn w:val="Normln"/>
    <w:uiPriority w:val="99"/>
    <w:rsid w:val="008022CA"/>
    <w:pPr>
      <w:ind w:left="75" w:right="-851"/>
      <w:jc w:val="both"/>
    </w:pPr>
    <w:rPr>
      <w:rFonts w:ascii="Times New Roman" w:hAnsi="Times New Roman"/>
      <w:sz w:val="24"/>
    </w:rPr>
  </w:style>
  <w:style w:type="paragraph" w:styleId="Titulek">
    <w:name w:val="caption"/>
    <w:basedOn w:val="Normln"/>
    <w:next w:val="Normln"/>
    <w:uiPriority w:val="99"/>
    <w:qFormat/>
    <w:rsid w:val="008022CA"/>
    <w:pPr>
      <w:jc w:val="center"/>
    </w:pPr>
    <w:rPr>
      <w:rFonts w:ascii="Times New Roman" w:hAnsi="Times New Roman"/>
      <w:b/>
      <w:sz w:val="36"/>
    </w:rPr>
  </w:style>
  <w:style w:type="paragraph" w:styleId="Zhlav">
    <w:name w:val="header"/>
    <w:basedOn w:val="Normln"/>
    <w:link w:val="ZhlavChar"/>
    <w:uiPriority w:val="99"/>
    <w:rsid w:val="008022CA"/>
    <w:pPr>
      <w:tabs>
        <w:tab w:val="center" w:pos="4153"/>
        <w:tab w:val="right" w:pos="8306"/>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rsid w:val="008022CA"/>
    <w:pPr>
      <w:tabs>
        <w:tab w:val="center" w:pos="4153"/>
        <w:tab w:val="right" w:pos="8306"/>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Rozloendokumentu">
    <w:name w:val="Document Map"/>
    <w:basedOn w:val="Normln"/>
    <w:link w:val="RozloendokumentuChar"/>
    <w:uiPriority w:val="99"/>
    <w:rsid w:val="008022CA"/>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rPr>
  </w:style>
  <w:style w:type="paragraph" w:styleId="Zkladntextodsazen">
    <w:name w:val="Body Text Indent"/>
    <w:basedOn w:val="Normln"/>
    <w:link w:val="ZkladntextodsazenChar"/>
    <w:uiPriority w:val="99"/>
    <w:rsid w:val="008022CA"/>
    <w:pPr>
      <w:ind w:left="2880" w:hanging="2880"/>
    </w:pPr>
    <w:rPr>
      <w:rFonts w:ascii="Verdana" w:hAnsi="Verdana"/>
      <w:lang w:eastAsia="en-US"/>
    </w:r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paragraph" w:styleId="Zkladntextodsazen2">
    <w:name w:val="Body Text Indent 2"/>
    <w:basedOn w:val="Normln"/>
    <w:link w:val="Zkladntextodsazen2Char"/>
    <w:uiPriority w:val="99"/>
    <w:rsid w:val="008022CA"/>
    <w:pPr>
      <w:ind w:left="2880"/>
    </w:pPr>
    <w:rPr>
      <w:rFonts w:ascii="Verdana" w:hAnsi="Verdana"/>
      <w:lang w:eastAsia="en-US"/>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Textbubliny">
    <w:name w:val="Balloon Text"/>
    <w:basedOn w:val="Normln"/>
    <w:link w:val="TextbublinyChar"/>
    <w:uiPriority w:val="99"/>
    <w:semiHidden/>
    <w:rsid w:val="002E6E81"/>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imes New Roman" w:hAnsi="Times New Roman" w:cs="Times New Roman"/>
      <w:sz w:val="2"/>
    </w:rPr>
  </w:style>
  <w:style w:type="paragraph" w:styleId="Prosttext">
    <w:name w:val="Plain Text"/>
    <w:basedOn w:val="Normln"/>
    <w:link w:val="ProsttextChar"/>
    <w:uiPriority w:val="99"/>
    <w:rsid w:val="00EA79F1"/>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EA79F1"/>
    <w:rPr>
      <w:rFonts w:ascii="Consolas" w:hAnsi="Consolas" w:cs="Times New Roman"/>
      <w:sz w:val="21"/>
      <w:szCs w:val="21"/>
      <w:lang w:eastAsia="en-US"/>
    </w:rPr>
  </w:style>
  <w:style w:type="character" w:styleId="Sledovanodkaz">
    <w:name w:val="FollowedHyperlink"/>
    <w:basedOn w:val="Standardnpsmoodstavce"/>
    <w:uiPriority w:val="99"/>
    <w:rsid w:val="00C26735"/>
    <w:rPr>
      <w:rFonts w:cs="Times New Roman"/>
      <w:color w:val="800080"/>
      <w:u w:val="single"/>
    </w:rPr>
  </w:style>
  <w:style w:type="character" w:styleId="Odkaznakoment">
    <w:name w:val="annotation reference"/>
    <w:basedOn w:val="Standardnpsmoodstavce"/>
    <w:uiPriority w:val="99"/>
    <w:rsid w:val="0077625A"/>
    <w:rPr>
      <w:rFonts w:cs="Times New Roman"/>
      <w:sz w:val="16"/>
      <w:szCs w:val="16"/>
    </w:rPr>
  </w:style>
  <w:style w:type="paragraph" w:styleId="Textkomente">
    <w:name w:val="annotation text"/>
    <w:basedOn w:val="Normln"/>
    <w:link w:val="TextkomenteChar"/>
    <w:uiPriority w:val="99"/>
    <w:rsid w:val="0077625A"/>
  </w:style>
  <w:style w:type="character" w:customStyle="1" w:styleId="TextkomenteChar">
    <w:name w:val="Text komentáře Char"/>
    <w:basedOn w:val="Standardnpsmoodstavce"/>
    <w:link w:val="Textkomente"/>
    <w:uiPriority w:val="99"/>
    <w:locked/>
    <w:rsid w:val="0077625A"/>
    <w:rPr>
      <w:rFonts w:cs="Times New Roman"/>
    </w:rPr>
  </w:style>
  <w:style w:type="paragraph" w:styleId="Pedmtkomente">
    <w:name w:val="annotation subject"/>
    <w:basedOn w:val="Textkomente"/>
    <w:next w:val="Textkomente"/>
    <w:link w:val="PedmtkomenteChar"/>
    <w:uiPriority w:val="99"/>
    <w:rsid w:val="0077625A"/>
    <w:rPr>
      <w:b/>
      <w:bCs/>
    </w:rPr>
  </w:style>
  <w:style w:type="character" w:customStyle="1" w:styleId="PedmtkomenteChar">
    <w:name w:val="Předmět komentáře Char"/>
    <w:basedOn w:val="TextkomenteChar"/>
    <w:link w:val="Pedmtkomente"/>
    <w:uiPriority w:val="99"/>
    <w:locked/>
    <w:rsid w:val="0077625A"/>
    <w:rPr>
      <w:rFonts w:cs="Times New Roman"/>
      <w:b/>
      <w:bCs/>
    </w:rPr>
  </w:style>
  <w:style w:type="paragraph" w:styleId="Revize">
    <w:name w:val="Revision"/>
    <w:hidden/>
    <w:uiPriority w:val="99"/>
    <w:semiHidden/>
    <w:rsid w:val="00C1579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ans Serif" w:eastAsia="Times New Roman" w:hAnsi="MS Sans Serif"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22CA"/>
    <w:rPr>
      <w:sz w:val="20"/>
      <w:szCs w:val="20"/>
    </w:rPr>
  </w:style>
  <w:style w:type="paragraph" w:styleId="Nadpis1">
    <w:name w:val="heading 1"/>
    <w:basedOn w:val="Normln"/>
    <w:next w:val="Normln"/>
    <w:link w:val="Nadpis1Char"/>
    <w:uiPriority w:val="99"/>
    <w:qFormat/>
    <w:rsid w:val="008022CA"/>
    <w:pPr>
      <w:keepNext/>
      <w:outlineLvl w:val="0"/>
    </w:pPr>
    <w:rPr>
      <w:rFonts w:ascii="Times New Roman" w:hAnsi="Times New Roman"/>
      <w:b/>
      <w:sz w:val="24"/>
    </w:rPr>
  </w:style>
  <w:style w:type="paragraph" w:styleId="Nadpis2">
    <w:name w:val="heading 2"/>
    <w:basedOn w:val="Normln"/>
    <w:next w:val="Normln"/>
    <w:link w:val="Nadpis2Char"/>
    <w:uiPriority w:val="99"/>
    <w:qFormat/>
    <w:rsid w:val="008022CA"/>
    <w:pPr>
      <w:keepNext/>
      <w:outlineLvl w:val="1"/>
    </w:pPr>
    <w:rPr>
      <w:rFonts w:ascii="Times New Roman" w:hAnsi="Times New Roman"/>
      <w:b/>
      <w:sz w:val="32"/>
    </w:rPr>
  </w:style>
  <w:style w:type="paragraph" w:styleId="Nadpis3">
    <w:name w:val="heading 3"/>
    <w:basedOn w:val="Normln"/>
    <w:next w:val="Normln"/>
    <w:link w:val="Nadpis3Char"/>
    <w:uiPriority w:val="99"/>
    <w:qFormat/>
    <w:rsid w:val="008022CA"/>
    <w:pPr>
      <w:keepNext/>
      <w:outlineLvl w:val="2"/>
    </w:pPr>
    <w:rPr>
      <w:rFonts w:ascii="Times New Roman" w:hAnsi="Times New Roman"/>
      <w:b/>
      <w:sz w:val="28"/>
    </w:rPr>
  </w:style>
  <w:style w:type="paragraph" w:styleId="Nadpis4">
    <w:name w:val="heading 4"/>
    <w:basedOn w:val="Normln"/>
    <w:next w:val="Normln"/>
    <w:link w:val="Nadpis4Char"/>
    <w:uiPriority w:val="99"/>
    <w:qFormat/>
    <w:rsid w:val="00377C85"/>
    <w:pPr>
      <w:keepNext/>
      <w:spacing w:before="240" w:after="60"/>
      <w:outlineLvl w:val="3"/>
    </w:pPr>
    <w:rPr>
      <w:rFonts w:ascii="Times New Roman" w:hAnsi="Times New Roman"/>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paragraph" w:styleId="Zkladntext">
    <w:name w:val="Body Text"/>
    <w:basedOn w:val="Normln"/>
    <w:link w:val="ZkladntextChar"/>
    <w:uiPriority w:val="99"/>
    <w:rsid w:val="008022CA"/>
    <w:pPr>
      <w:ind w:right="-851"/>
    </w:pPr>
    <w:rPr>
      <w:rFonts w:ascii="Times New Roman" w:hAnsi="Times New Roman"/>
      <w:sz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8022CA"/>
    <w:rPr>
      <w:rFonts w:cs="Times New Roman"/>
      <w:color w:val="0000FF"/>
      <w:u w:val="single"/>
    </w:rPr>
  </w:style>
  <w:style w:type="paragraph" w:styleId="Zkladntext2">
    <w:name w:val="Body Text 2"/>
    <w:basedOn w:val="Normln"/>
    <w:link w:val="Zkladntext2Char"/>
    <w:uiPriority w:val="99"/>
    <w:rsid w:val="008022CA"/>
    <w:pPr>
      <w:ind w:right="-851"/>
      <w:jc w:val="both"/>
    </w:pPr>
    <w:rPr>
      <w:rFonts w:ascii="Times New Roman" w:hAnsi="Times New Roman"/>
      <w:sz w:val="3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Textvbloku">
    <w:name w:val="Block Text"/>
    <w:basedOn w:val="Normln"/>
    <w:uiPriority w:val="99"/>
    <w:rsid w:val="008022CA"/>
    <w:pPr>
      <w:ind w:left="75" w:right="-851"/>
      <w:jc w:val="both"/>
    </w:pPr>
    <w:rPr>
      <w:rFonts w:ascii="Times New Roman" w:hAnsi="Times New Roman"/>
      <w:sz w:val="24"/>
    </w:rPr>
  </w:style>
  <w:style w:type="paragraph" w:styleId="Titulek">
    <w:name w:val="caption"/>
    <w:basedOn w:val="Normln"/>
    <w:next w:val="Normln"/>
    <w:uiPriority w:val="99"/>
    <w:qFormat/>
    <w:rsid w:val="008022CA"/>
    <w:pPr>
      <w:jc w:val="center"/>
    </w:pPr>
    <w:rPr>
      <w:rFonts w:ascii="Times New Roman" w:hAnsi="Times New Roman"/>
      <w:b/>
      <w:sz w:val="36"/>
    </w:rPr>
  </w:style>
  <w:style w:type="paragraph" w:styleId="Zhlav">
    <w:name w:val="header"/>
    <w:basedOn w:val="Normln"/>
    <w:link w:val="ZhlavChar"/>
    <w:uiPriority w:val="99"/>
    <w:rsid w:val="008022CA"/>
    <w:pPr>
      <w:tabs>
        <w:tab w:val="center" w:pos="4153"/>
        <w:tab w:val="right" w:pos="8306"/>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rsid w:val="008022CA"/>
    <w:pPr>
      <w:tabs>
        <w:tab w:val="center" w:pos="4153"/>
        <w:tab w:val="right" w:pos="8306"/>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Rozloendokumentu">
    <w:name w:val="Document Map"/>
    <w:basedOn w:val="Normln"/>
    <w:link w:val="RozloendokumentuChar"/>
    <w:uiPriority w:val="99"/>
    <w:rsid w:val="008022CA"/>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rPr>
  </w:style>
  <w:style w:type="paragraph" w:styleId="Zkladntextodsazen">
    <w:name w:val="Body Text Indent"/>
    <w:basedOn w:val="Normln"/>
    <w:link w:val="ZkladntextodsazenChar"/>
    <w:uiPriority w:val="99"/>
    <w:rsid w:val="008022CA"/>
    <w:pPr>
      <w:ind w:left="2880" w:hanging="2880"/>
    </w:pPr>
    <w:rPr>
      <w:rFonts w:ascii="Verdana" w:hAnsi="Verdana"/>
      <w:lang w:eastAsia="en-US"/>
    </w:r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paragraph" w:styleId="Zkladntextodsazen2">
    <w:name w:val="Body Text Indent 2"/>
    <w:basedOn w:val="Normln"/>
    <w:link w:val="Zkladntextodsazen2Char"/>
    <w:uiPriority w:val="99"/>
    <w:rsid w:val="008022CA"/>
    <w:pPr>
      <w:ind w:left="2880"/>
    </w:pPr>
    <w:rPr>
      <w:rFonts w:ascii="Verdana" w:hAnsi="Verdana"/>
      <w:lang w:eastAsia="en-US"/>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Textbubliny">
    <w:name w:val="Balloon Text"/>
    <w:basedOn w:val="Normln"/>
    <w:link w:val="TextbublinyChar"/>
    <w:uiPriority w:val="99"/>
    <w:semiHidden/>
    <w:rsid w:val="002E6E81"/>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imes New Roman" w:hAnsi="Times New Roman" w:cs="Times New Roman"/>
      <w:sz w:val="2"/>
    </w:rPr>
  </w:style>
  <w:style w:type="paragraph" w:styleId="Prosttext">
    <w:name w:val="Plain Text"/>
    <w:basedOn w:val="Normln"/>
    <w:link w:val="ProsttextChar"/>
    <w:uiPriority w:val="99"/>
    <w:rsid w:val="00EA79F1"/>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EA79F1"/>
    <w:rPr>
      <w:rFonts w:ascii="Consolas" w:hAnsi="Consolas" w:cs="Times New Roman"/>
      <w:sz w:val="21"/>
      <w:szCs w:val="21"/>
      <w:lang w:eastAsia="en-US"/>
    </w:rPr>
  </w:style>
  <w:style w:type="character" w:styleId="Sledovanodkaz">
    <w:name w:val="FollowedHyperlink"/>
    <w:basedOn w:val="Standardnpsmoodstavce"/>
    <w:uiPriority w:val="99"/>
    <w:rsid w:val="00C26735"/>
    <w:rPr>
      <w:rFonts w:cs="Times New Roman"/>
      <w:color w:val="800080"/>
      <w:u w:val="single"/>
    </w:rPr>
  </w:style>
  <w:style w:type="character" w:styleId="Odkaznakoment">
    <w:name w:val="annotation reference"/>
    <w:basedOn w:val="Standardnpsmoodstavce"/>
    <w:uiPriority w:val="99"/>
    <w:rsid w:val="0077625A"/>
    <w:rPr>
      <w:rFonts w:cs="Times New Roman"/>
      <w:sz w:val="16"/>
      <w:szCs w:val="16"/>
    </w:rPr>
  </w:style>
  <w:style w:type="paragraph" w:styleId="Textkomente">
    <w:name w:val="annotation text"/>
    <w:basedOn w:val="Normln"/>
    <w:link w:val="TextkomenteChar"/>
    <w:uiPriority w:val="99"/>
    <w:rsid w:val="0077625A"/>
  </w:style>
  <w:style w:type="character" w:customStyle="1" w:styleId="TextkomenteChar">
    <w:name w:val="Text komentáře Char"/>
    <w:basedOn w:val="Standardnpsmoodstavce"/>
    <w:link w:val="Textkomente"/>
    <w:uiPriority w:val="99"/>
    <w:locked/>
    <w:rsid w:val="0077625A"/>
    <w:rPr>
      <w:rFonts w:cs="Times New Roman"/>
    </w:rPr>
  </w:style>
  <w:style w:type="paragraph" w:styleId="Pedmtkomente">
    <w:name w:val="annotation subject"/>
    <w:basedOn w:val="Textkomente"/>
    <w:next w:val="Textkomente"/>
    <w:link w:val="PedmtkomenteChar"/>
    <w:uiPriority w:val="99"/>
    <w:rsid w:val="0077625A"/>
    <w:rPr>
      <w:b/>
      <w:bCs/>
    </w:rPr>
  </w:style>
  <w:style w:type="character" w:customStyle="1" w:styleId="PedmtkomenteChar">
    <w:name w:val="Předmět komentáře Char"/>
    <w:basedOn w:val="TextkomenteChar"/>
    <w:link w:val="Pedmtkomente"/>
    <w:uiPriority w:val="99"/>
    <w:locked/>
    <w:rsid w:val="0077625A"/>
    <w:rPr>
      <w:rFonts w:cs="Times New Roman"/>
      <w:b/>
      <w:bCs/>
    </w:rPr>
  </w:style>
  <w:style w:type="paragraph" w:styleId="Revize">
    <w:name w:val="Revision"/>
    <w:hidden/>
    <w:uiPriority w:val="99"/>
    <w:semiHidden/>
    <w:rsid w:val="00C157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6619">
      <w:bodyDiv w:val="1"/>
      <w:marLeft w:val="0"/>
      <w:marRight w:val="0"/>
      <w:marTop w:val="0"/>
      <w:marBottom w:val="0"/>
      <w:divBdr>
        <w:top w:val="none" w:sz="0" w:space="0" w:color="auto"/>
        <w:left w:val="none" w:sz="0" w:space="0" w:color="auto"/>
        <w:bottom w:val="none" w:sz="0" w:space="0" w:color="auto"/>
        <w:right w:val="none" w:sz="0" w:space="0" w:color="auto"/>
      </w:divBdr>
    </w:div>
    <w:div w:id="719288834">
      <w:bodyDiv w:val="1"/>
      <w:marLeft w:val="0"/>
      <w:marRight w:val="0"/>
      <w:marTop w:val="0"/>
      <w:marBottom w:val="0"/>
      <w:divBdr>
        <w:top w:val="none" w:sz="0" w:space="0" w:color="auto"/>
        <w:left w:val="none" w:sz="0" w:space="0" w:color="auto"/>
        <w:bottom w:val="none" w:sz="0" w:space="0" w:color="auto"/>
        <w:right w:val="none" w:sz="0" w:space="0" w:color="auto"/>
      </w:divBdr>
    </w:div>
    <w:div w:id="967246557">
      <w:bodyDiv w:val="1"/>
      <w:marLeft w:val="0"/>
      <w:marRight w:val="0"/>
      <w:marTop w:val="0"/>
      <w:marBottom w:val="0"/>
      <w:divBdr>
        <w:top w:val="none" w:sz="0" w:space="0" w:color="auto"/>
        <w:left w:val="none" w:sz="0" w:space="0" w:color="auto"/>
        <w:bottom w:val="none" w:sz="0" w:space="0" w:color="auto"/>
        <w:right w:val="none" w:sz="0" w:space="0" w:color="auto"/>
      </w:divBdr>
    </w:div>
    <w:div w:id="978459661">
      <w:bodyDiv w:val="1"/>
      <w:marLeft w:val="0"/>
      <w:marRight w:val="0"/>
      <w:marTop w:val="0"/>
      <w:marBottom w:val="0"/>
      <w:divBdr>
        <w:top w:val="none" w:sz="0" w:space="0" w:color="auto"/>
        <w:left w:val="none" w:sz="0" w:space="0" w:color="auto"/>
        <w:bottom w:val="none" w:sz="0" w:space="0" w:color="auto"/>
        <w:right w:val="none" w:sz="0" w:space="0" w:color="auto"/>
      </w:divBdr>
    </w:div>
    <w:div w:id="1276711727">
      <w:bodyDiv w:val="1"/>
      <w:marLeft w:val="0"/>
      <w:marRight w:val="0"/>
      <w:marTop w:val="0"/>
      <w:marBottom w:val="0"/>
      <w:divBdr>
        <w:top w:val="none" w:sz="0" w:space="0" w:color="auto"/>
        <w:left w:val="none" w:sz="0" w:space="0" w:color="auto"/>
        <w:bottom w:val="none" w:sz="0" w:space="0" w:color="auto"/>
        <w:right w:val="none" w:sz="0" w:space="0" w:color="auto"/>
      </w:divBdr>
    </w:div>
    <w:div w:id="1426999563">
      <w:marLeft w:val="0"/>
      <w:marRight w:val="0"/>
      <w:marTop w:val="0"/>
      <w:marBottom w:val="0"/>
      <w:divBdr>
        <w:top w:val="none" w:sz="0" w:space="0" w:color="auto"/>
        <w:left w:val="none" w:sz="0" w:space="0" w:color="auto"/>
        <w:bottom w:val="none" w:sz="0" w:space="0" w:color="auto"/>
        <w:right w:val="none" w:sz="0" w:space="0" w:color="auto"/>
      </w:divBdr>
    </w:div>
    <w:div w:id="1426999564">
      <w:marLeft w:val="0"/>
      <w:marRight w:val="0"/>
      <w:marTop w:val="0"/>
      <w:marBottom w:val="0"/>
      <w:divBdr>
        <w:top w:val="none" w:sz="0" w:space="0" w:color="auto"/>
        <w:left w:val="none" w:sz="0" w:space="0" w:color="auto"/>
        <w:bottom w:val="none" w:sz="0" w:space="0" w:color="auto"/>
        <w:right w:val="none" w:sz="0" w:space="0" w:color="auto"/>
      </w:divBdr>
      <w:divsChild>
        <w:div w:id="1426999565">
          <w:marLeft w:val="0"/>
          <w:marRight w:val="0"/>
          <w:marTop w:val="0"/>
          <w:marBottom w:val="0"/>
          <w:divBdr>
            <w:top w:val="none" w:sz="0" w:space="0" w:color="auto"/>
            <w:left w:val="none" w:sz="0" w:space="0" w:color="auto"/>
            <w:bottom w:val="none" w:sz="0" w:space="0" w:color="auto"/>
            <w:right w:val="none" w:sz="0" w:space="0" w:color="auto"/>
          </w:divBdr>
        </w:div>
        <w:div w:id="1426999566">
          <w:marLeft w:val="0"/>
          <w:marRight w:val="0"/>
          <w:marTop w:val="0"/>
          <w:marBottom w:val="0"/>
          <w:divBdr>
            <w:top w:val="none" w:sz="0" w:space="0" w:color="auto"/>
            <w:left w:val="none" w:sz="0" w:space="0" w:color="auto"/>
            <w:bottom w:val="none" w:sz="0" w:space="0" w:color="auto"/>
            <w:right w:val="none" w:sz="0" w:space="0" w:color="auto"/>
          </w:divBdr>
        </w:div>
        <w:div w:id="1426999568">
          <w:marLeft w:val="0"/>
          <w:marRight w:val="0"/>
          <w:marTop w:val="0"/>
          <w:marBottom w:val="0"/>
          <w:divBdr>
            <w:top w:val="none" w:sz="0" w:space="0" w:color="auto"/>
            <w:left w:val="none" w:sz="0" w:space="0" w:color="auto"/>
            <w:bottom w:val="none" w:sz="0" w:space="0" w:color="auto"/>
            <w:right w:val="none" w:sz="0" w:space="0" w:color="auto"/>
          </w:divBdr>
        </w:div>
      </w:divsChild>
    </w:div>
    <w:div w:id="1426999567">
      <w:marLeft w:val="0"/>
      <w:marRight w:val="0"/>
      <w:marTop w:val="0"/>
      <w:marBottom w:val="0"/>
      <w:divBdr>
        <w:top w:val="none" w:sz="0" w:space="0" w:color="auto"/>
        <w:left w:val="none" w:sz="0" w:space="0" w:color="auto"/>
        <w:bottom w:val="none" w:sz="0" w:space="0" w:color="auto"/>
        <w:right w:val="none" w:sz="0" w:space="0" w:color="auto"/>
      </w:divBdr>
    </w:div>
    <w:div w:id="1667242366">
      <w:bodyDiv w:val="1"/>
      <w:marLeft w:val="0"/>
      <w:marRight w:val="0"/>
      <w:marTop w:val="0"/>
      <w:marBottom w:val="0"/>
      <w:divBdr>
        <w:top w:val="none" w:sz="0" w:space="0" w:color="auto"/>
        <w:left w:val="none" w:sz="0" w:space="0" w:color="auto"/>
        <w:bottom w:val="none" w:sz="0" w:space="0" w:color="auto"/>
        <w:right w:val="none" w:sz="0" w:space="0" w:color="auto"/>
      </w:divBdr>
    </w:div>
    <w:div w:id="2112313840">
      <w:bodyDiv w:val="1"/>
      <w:marLeft w:val="0"/>
      <w:marRight w:val="0"/>
      <w:marTop w:val="0"/>
      <w:marBottom w:val="0"/>
      <w:divBdr>
        <w:top w:val="none" w:sz="0" w:space="0" w:color="auto"/>
        <w:left w:val="none" w:sz="0" w:space="0" w:color="auto"/>
        <w:bottom w:val="none" w:sz="0" w:space="0" w:color="auto"/>
        <w:right w:val="none" w:sz="0" w:space="0" w:color="auto"/>
      </w:divBdr>
    </w:div>
    <w:div w:id="21297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vel.severa@spir.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ir.cz/reklamni-forma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etr.kolar@spi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BoomPub\contact_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6B12E-E7EB-415F-9CE6-E32B72F3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contact_rep</Template>
  <TotalTime>76</TotalTime>
  <Pages>6</Pages>
  <Words>1373</Words>
  <Characters>7707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inzertní odhady SPIR</vt:lpstr>
    </vt:vector>
  </TitlesOfParts>
  <Company>Boomerang</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inzertní odhady SPIR</dc:title>
  <dc:creator>Petr Kolář</dc:creator>
  <cp:lastModifiedBy>Petr</cp:lastModifiedBy>
  <cp:revision>3</cp:revision>
  <cp:lastPrinted>2012-02-21T07:28:00Z</cp:lastPrinted>
  <dcterms:created xsi:type="dcterms:W3CDTF">2012-03-05T11:25:00Z</dcterms:created>
  <dcterms:modified xsi:type="dcterms:W3CDTF">2012-03-05T12:40:00Z</dcterms:modified>
</cp:coreProperties>
</file>