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8D" w:rsidRPr="00FF6E62" w:rsidRDefault="0082778D" w:rsidP="006331E9">
      <w:pPr>
        <w:jc w:val="both"/>
        <w:rPr>
          <w:rFonts w:ascii="Arial" w:eastAsia="Arial" w:hAnsi="Arial" w:cs="Arial"/>
          <w:b/>
          <w:bCs/>
          <w:color w:val="0000FF"/>
        </w:rPr>
      </w:pPr>
      <w:bookmarkStart w:id="0" w:name="_GoBack"/>
      <w:bookmarkEnd w:id="0"/>
      <w:r w:rsidRPr="00FF6E62">
        <w:rPr>
          <w:rFonts w:ascii="Arial" w:hAnsi="Arial" w:cs="Arial"/>
          <w:noProof/>
          <w:color w:val="0000FF"/>
          <w:lang w:val="cs-CZ" w:eastAsia="cs-CZ" w:bidi="ar-SA"/>
        </w:rPr>
        <w:drawing>
          <wp:inline distT="0" distB="0" distL="0" distR="0" wp14:anchorId="574E7DBE" wp14:editId="793AC8F9">
            <wp:extent cx="1027430" cy="862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7430" cy="862965"/>
                    </a:xfrm>
                    <a:prstGeom prst="rect">
                      <a:avLst/>
                    </a:prstGeom>
                    <a:solidFill>
                      <a:srgbClr val="FFFFFF"/>
                    </a:solidFill>
                    <a:ln>
                      <a:noFill/>
                    </a:ln>
                  </pic:spPr>
                </pic:pic>
              </a:graphicData>
            </a:graphic>
          </wp:inline>
        </w:drawing>
      </w:r>
      <w:r w:rsidRPr="00FF6E62">
        <w:rPr>
          <w:rFonts w:ascii="Arial" w:eastAsia="Arial" w:hAnsi="Arial" w:cs="Arial"/>
          <w:b/>
          <w:bCs/>
          <w:color w:val="0000FF"/>
        </w:rPr>
        <w:t xml:space="preserve"> </w:t>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t xml:space="preserve"> </w:t>
      </w:r>
      <w:r w:rsidRPr="00FF6E62">
        <w:rPr>
          <w:rFonts w:ascii="Arial" w:eastAsia="Arial" w:hAnsi="Arial" w:cs="Arial"/>
          <w:b/>
          <w:bCs/>
          <w:color w:val="0000FF"/>
        </w:rPr>
        <w:tab/>
      </w:r>
      <w:r w:rsidR="00953E9D">
        <w:rPr>
          <w:rFonts w:ascii="Arial" w:eastAsia="Arial" w:hAnsi="Arial" w:cs="Arial"/>
          <w:b/>
          <w:bCs/>
          <w:color w:val="0000FF"/>
        </w:rPr>
        <w:t xml:space="preserve">                      </w:t>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r>
      <w:r w:rsidRPr="00FF6E62">
        <w:rPr>
          <w:rFonts w:ascii="Arial" w:eastAsia="Arial" w:hAnsi="Arial" w:cs="Arial"/>
          <w:b/>
          <w:bCs/>
          <w:color w:val="0000FF"/>
        </w:rPr>
        <w:tab/>
      </w:r>
      <w:r w:rsidR="00953E9D">
        <w:rPr>
          <w:rFonts w:ascii="Arial" w:eastAsia="Arial" w:hAnsi="Arial" w:cs="Arial"/>
          <w:b/>
          <w:bCs/>
          <w:color w:val="0000FF"/>
        </w:rPr>
        <w:t xml:space="preserve">              </w:t>
      </w:r>
    </w:p>
    <w:p w:rsidR="00FB166B" w:rsidRDefault="00272FCE" w:rsidP="00DA05C8">
      <w:pPr>
        <w:widowControl w:val="0"/>
        <w:autoSpaceDE w:val="0"/>
        <w:autoSpaceDN w:val="0"/>
        <w:adjustRightInd w:val="0"/>
        <w:spacing w:after="0" w:line="360" w:lineRule="auto"/>
        <w:ind w:right="-64"/>
        <w:jc w:val="center"/>
        <w:rPr>
          <w:rFonts w:ascii="Arial" w:eastAsiaTheme="minorEastAsia" w:hAnsi="Arial" w:cs="Arial"/>
          <w:b/>
          <w:bCs/>
          <w:color w:val="auto"/>
          <w:sz w:val="24"/>
          <w:szCs w:val="28"/>
          <w:lang w:bidi="ar-SA"/>
        </w:rPr>
      </w:pPr>
      <w:r>
        <w:rPr>
          <w:rFonts w:ascii="Arial" w:eastAsiaTheme="minorEastAsia" w:hAnsi="Arial" w:cs="Arial"/>
          <w:b/>
          <w:bCs/>
          <w:color w:val="auto"/>
          <w:sz w:val="24"/>
          <w:szCs w:val="28"/>
          <w:lang w:bidi="ar-SA"/>
        </w:rPr>
        <w:t xml:space="preserve">IAB Europe </w:t>
      </w:r>
      <w:r w:rsidR="00FB166B">
        <w:rPr>
          <w:rFonts w:ascii="Arial" w:eastAsiaTheme="minorEastAsia" w:hAnsi="Arial" w:cs="Arial"/>
          <w:b/>
          <w:bCs/>
          <w:color w:val="auto"/>
          <w:sz w:val="24"/>
          <w:szCs w:val="28"/>
          <w:lang w:bidi="ar-SA"/>
        </w:rPr>
        <w:t xml:space="preserve">launches </w:t>
      </w:r>
      <w:r w:rsidR="00433964">
        <w:rPr>
          <w:rFonts w:ascii="Arial" w:eastAsiaTheme="minorEastAsia" w:hAnsi="Arial" w:cs="Arial"/>
          <w:b/>
          <w:bCs/>
          <w:color w:val="auto"/>
          <w:sz w:val="24"/>
          <w:szCs w:val="28"/>
          <w:lang w:bidi="ar-SA"/>
        </w:rPr>
        <w:t xml:space="preserve">first </w:t>
      </w:r>
      <w:r w:rsidR="00D55CE6">
        <w:rPr>
          <w:rFonts w:ascii="Arial" w:eastAsiaTheme="minorEastAsia" w:hAnsi="Arial" w:cs="Arial"/>
          <w:b/>
          <w:bCs/>
          <w:color w:val="auto"/>
          <w:sz w:val="24"/>
          <w:szCs w:val="28"/>
          <w:lang w:bidi="ar-SA"/>
        </w:rPr>
        <w:t xml:space="preserve">pan-European </w:t>
      </w:r>
      <w:r w:rsidR="00FB166B">
        <w:rPr>
          <w:rFonts w:ascii="Arial" w:eastAsiaTheme="minorEastAsia" w:hAnsi="Arial" w:cs="Arial"/>
          <w:b/>
          <w:bCs/>
          <w:color w:val="auto"/>
          <w:sz w:val="24"/>
          <w:szCs w:val="28"/>
          <w:lang w:bidi="ar-SA"/>
        </w:rPr>
        <w:t>Programmatic Trading White Paper</w:t>
      </w:r>
    </w:p>
    <w:p w:rsidR="005358C9" w:rsidRDefault="00433964" w:rsidP="005358C9">
      <w:pPr>
        <w:widowControl w:val="0"/>
        <w:autoSpaceDE w:val="0"/>
        <w:autoSpaceDN w:val="0"/>
        <w:adjustRightInd w:val="0"/>
        <w:spacing w:after="0" w:line="360" w:lineRule="auto"/>
        <w:ind w:right="-64"/>
        <w:jc w:val="center"/>
        <w:rPr>
          <w:rFonts w:eastAsiaTheme="minorEastAsia"/>
          <w:b/>
          <w:bCs/>
          <w:i/>
          <w:color w:val="auto"/>
        </w:rPr>
      </w:pPr>
      <w:r>
        <w:rPr>
          <w:rFonts w:ascii="Arial" w:eastAsiaTheme="minorEastAsia" w:hAnsi="Arial" w:cs="Arial"/>
          <w:b/>
          <w:bCs/>
          <w:color w:val="auto"/>
          <w:lang w:bidi="ar-SA"/>
        </w:rPr>
        <w:t>The start</w:t>
      </w:r>
      <w:r w:rsidRPr="00962BB0">
        <w:rPr>
          <w:rFonts w:ascii="Arial" w:eastAsiaTheme="minorEastAsia" w:hAnsi="Arial" w:cs="Arial"/>
          <w:b/>
          <w:bCs/>
          <w:color w:val="auto"/>
          <w:lang w:bidi="ar-SA"/>
        </w:rPr>
        <w:t xml:space="preserve"> </w:t>
      </w:r>
      <w:r w:rsidR="00FB166B" w:rsidRPr="00962BB0">
        <w:rPr>
          <w:rFonts w:ascii="Arial" w:eastAsiaTheme="minorEastAsia" w:hAnsi="Arial" w:cs="Arial"/>
          <w:b/>
          <w:bCs/>
          <w:color w:val="auto"/>
          <w:lang w:bidi="ar-SA"/>
        </w:rPr>
        <w:t xml:space="preserve">of a range of activities </w:t>
      </w:r>
      <w:r w:rsidR="00272FCE" w:rsidRPr="00962BB0">
        <w:rPr>
          <w:rFonts w:ascii="Arial" w:eastAsiaTheme="minorEastAsia" w:hAnsi="Arial" w:cs="Arial"/>
          <w:b/>
          <w:bCs/>
          <w:color w:val="auto"/>
          <w:lang w:bidi="ar-SA"/>
        </w:rPr>
        <w:t>aim</w:t>
      </w:r>
      <w:r w:rsidR="00FB166B" w:rsidRPr="00962BB0">
        <w:rPr>
          <w:rFonts w:ascii="Arial" w:eastAsiaTheme="minorEastAsia" w:hAnsi="Arial" w:cs="Arial"/>
          <w:b/>
          <w:bCs/>
          <w:color w:val="auto"/>
          <w:lang w:bidi="ar-SA"/>
        </w:rPr>
        <w:t>ing</w:t>
      </w:r>
      <w:r w:rsidR="00272FCE" w:rsidRPr="00962BB0">
        <w:rPr>
          <w:rFonts w:ascii="Arial" w:eastAsiaTheme="minorEastAsia" w:hAnsi="Arial" w:cs="Arial"/>
          <w:b/>
          <w:bCs/>
          <w:color w:val="auto"/>
          <w:lang w:bidi="ar-SA"/>
        </w:rPr>
        <w:t xml:space="preserve"> to demystify Programmatic Trading and support its growth across Europe</w:t>
      </w:r>
      <w:r w:rsidR="005B15EF" w:rsidRPr="00962BB0">
        <w:rPr>
          <w:rFonts w:ascii="Arial" w:eastAsiaTheme="minorEastAsia" w:hAnsi="Arial" w:cs="Arial"/>
          <w:b/>
          <w:bCs/>
          <w:color w:val="auto"/>
          <w:lang w:val="en-GB" w:bidi="ar-SA"/>
        </w:rPr>
        <w:br/>
      </w:r>
    </w:p>
    <w:p w:rsidR="006854AF" w:rsidRDefault="007F4CFC" w:rsidP="00E423F2">
      <w:pPr>
        <w:widowControl w:val="0"/>
        <w:autoSpaceDE w:val="0"/>
        <w:autoSpaceDN w:val="0"/>
        <w:adjustRightInd w:val="0"/>
        <w:spacing w:after="0" w:line="360" w:lineRule="auto"/>
        <w:rPr>
          <w:rFonts w:ascii="Arial" w:hAnsi="Arial" w:cs="Arial"/>
          <w:b/>
          <w:color w:val="auto"/>
        </w:rPr>
      </w:pPr>
      <w:r w:rsidRPr="00B03B7C">
        <w:rPr>
          <w:rFonts w:ascii="Arial" w:hAnsi="Arial" w:cs="Arial"/>
          <w:b/>
          <w:color w:val="auto"/>
          <w:sz w:val="20"/>
          <w:szCs w:val="20"/>
        </w:rPr>
        <w:t>Brussels</w:t>
      </w:r>
      <w:r w:rsidR="008F3A32" w:rsidRPr="00B03B7C">
        <w:rPr>
          <w:rFonts w:ascii="Arial" w:hAnsi="Arial" w:cs="Arial"/>
          <w:b/>
          <w:color w:val="auto"/>
          <w:sz w:val="20"/>
          <w:szCs w:val="20"/>
        </w:rPr>
        <w:t>,</w:t>
      </w:r>
      <w:r w:rsidR="00845C98">
        <w:rPr>
          <w:rFonts w:ascii="Arial" w:hAnsi="Arial" w:cs="Arial"/>
          <w:color w:val="auto"/>
          <w:sz w:val="20"/>
          <w:szCs w:val="20"/>
        </w:rPr>
        <w:t xml:space="preserve"> </w:t>
      </w:r>
      <w:r w:rsidR="00845C98" w:rsidRPr="00845C98">
        <w:rPr>
          <w:rFonts w:ascii="Arial" w:hAnsi="Arial" w:cs="Arial"/>
          <w:b/>
          <w:color w:val="auto"/>
          <w:sz w:val="20"/>
          <w:szCs w:val="20"/>
        </w:rPr>
        <w:t>28</w:t>
      </w:r>
      <w:r w:rsidRPr="00845C98">
        <w:rPr>
          <w:rFonts w:ascii="Arial" w:hAnsi="Arial" w:cs="Arial"/>
          <w:b/>
          <w:color w:val="auto"/>
          <w:sz w:val="20"/>
          <w:szCs w:val="20"/>
        </w:rPr>
        <w:t xml:space="preserve"> July</w:t>
      </w:r>
      <w:r w:rsidR="0082778D" w:rsidRPr="00845C98">
        <w:rPr>
          <w:rFonts w:ascii="Arial" w:hAnsi="Arial" w:cs="Arial"/>
          <w:b/>
          <w:color w:val="auto"/>
          <w:sz w:val="20"/>
          <w:szCs w:val="20"/>
        </w:rPr>
        <w:t xml:space="preserve"> 2014</w:t>
      </w:r>
      <w:r w:rsidR="0082778D" w:rsidRPr="006A7E67">
        <w:rPr>
          <w:rFonts w:ascii="Arial" w:hAnsi="Arial" w:cs="Arial"/>
          <w:color w:val="auto"/>
          <w:sz w:val="20"/>
          <w:szCs w:val="20"/>
        </w:rPr>
        <w:t xml:space="preserve"> – </w:t>
      </w:r>
      <w:r w:rsidR="00660B03" w:rsidRPr="00660B03">
        <w:rPr>
          <w:rFonts w:ascii="Arial" w:hAnsi="Arial" w:cs="Arial"/>
          <w:color w:val="auto"/>
          <w:sz w:val="20"/>
          <w:szCs w:val="20"/>
        </w:rPr>
        <w:t xml:space="preserve">IAB Europe </w:t>
      </w:r>
      <w:r w:rsidR="00433964">
        <w:rPr>
          <w:rFonts w:ascii="Arial" w:hAnsi="Arial" w:cs="Arial"/>
          <w:color w:val="auto"/>
          <w:sz w:val="20"/>
          <w:szCs w:val="20"/>
        </w:rPr>
        <w:t>is supporting</w:t>
      </w:r>
      <w:r w:rsidR="00660B03" w:rsidRPr="00660B03">
        <w:rPr>
          <w:rFonts w:ascii="Arial" w:hAnsi="Arial" w:cs="Arial"/>
          <w:color w:val="auto"/>
          <w:sz w:val="20"/>
          <w:szCs w:val="20"/>
        </w:rPr>
        <w:t xml:space="preserve"> the </w:t>
      </w:r>
      <w:r w:rsidR="00063199">
        <w:rPr>
          <w:rFonts w:ascii="Arial" w:hAnsi="Arial" w:cs="Arial"/>
          <w:color w:val="auto"/>
          <w:sz w:val="20"/>
          <w:szCs w:val="20"/>
        </w:rPr>
        <w:t>development</w:t>
      </w:r>
      <w:r w:rsidR="00660B03" w:rsidRPr="00660B03">
        <w:rPr>
          <w:rFonts w:ascii="Arial" w:hAnsi="Arial" w:cs="Arial"/>
          <w:color w:val="auto"/>
          <w:sz w:val="20"/>
          <w:szCs w:val="20"/>
        </w:rPr>
        <w:t xml:space="preserve"> of Programmatic Trading </w:t>
      </w:r>
      <w:r w:rsidR="00433964">
        <w:rPr>
          <w:rFonts w:ascii="Arial" w:hAnsi="Arial" w:cs="Arial"/>
          <w:color w:val="auto"/>
          <w:sz w:val="20"/>
          <w:szCs w:val="20"/>
        </w:rPr>
        <w:t xml:space="preserve">by educating </w:t>
      </w:r>
      <w:r w:rsidR="00660B03" w:rsidRPr="00660B03">
        <w:rPr>
          <w:rFonts w:ascii="Arial" w:hAnsi="Arial" w:cs="Arial"/>
          <w:color w:val="auto"/>
          <w:sz w:val="20"/>
          <w:szCs w:val="20"/>
        </w:rPr>
        <w:t xml:space="preserve"> the </w:t>
      </w:r>
      <w:r w:rsidR="00660B03">
        <w:rPr>
          <w:rFonts w:ascii="Arial" w:hAnsi="Arial" w:cs="Arial"/>
          <w:color w:val="auto"/>
          <w:sz w:val="20"/>
          <w:szCs w:val="20"/>
        </w:rPr>
        <w:t>market</w:t>
      </w:r>
      <w:r w:rsidR="00063199">
        <w:rPr>
          <w:rFonts w:ascii="Arial" w:hAnsi="Arial" w:cs="Arial"/>
          <w:color w:val="auto"/>
          <w:sz w:val="20"/>
          <w:szCs w:val="20"/>
        </w:rPr>
        <w:t xml:space="preserve"> and</w:t>
      </w:r>
      <w:r w:rsidR="00660B03" w:rsidRPr="00660B03">
        <w:rPr>
          <w:rFonts w:ascii="Arial" w:hAnsi="Arial" w:cs="Arial"/>
          <w:color w:val="auto"/>
          <w:sz w:val="20"/>
          <w:szCs w:val="20"/>
        </w:rPr>
        <w:t xml:space="preserve"> </w:t>
      </w:r>
      <w:r w:rsidR="00433964">
        <w:rPr>
          <w:rFonts w:ascii="Arial" w:hAnsi="Arial" w:cs="Arial"/>
          <w:color w:val="auto"/>
          <w:sz w:val="20"/>
          <w:szCs w:val="20"/>
        </w:rPr>
        <w:t xml:space="preserve">developing </w:t>
      </w:r>
      <w:r w:rsidR="00660B03" w:rsidRPr="00660B03">
        <w:rPr>
          <w:rFonts w:ascii="Arial" w:hAnsi="Arial" w:cs="Arial"/>
          <w:color w:val="auto"/>
          <w:sz w:val="20"/>
          <w:szCs w:val="20"/>
        </w:rPr>
        <w:t>strat</w:t>
      </w:r>
      <w:r w:rsidR="00B126F5">
        <w:rPr>
          <w:rFonts w:ascii="Arial" w:hAnsi="Arial" w:cs="Arial"/>
          <w:color w:val="auto"/>
          <w:sz w:val="20"/>
          <w:szCs w:val="20"/>
        </w:rPr>
        <w:t>egies for promoting and growing</w:t>
      </w:r>
      <w:r w:rsidR="00D65BA8">
        <w:rPr>
          <w:rFonts w:ascii="Arial" w:hAnsi="Arial" w:cs="Arial"/>
          <w:color w:val="auto"/>
          <w:sz w:val="20"/>
          <w:szCs w:val="20"/>
        </w:rPr>
        <w:t xml:space="preserve"> its use </w:t>
      </w:r>
      <w:r w:rsidR="00FB166B">
        <w:rPr>
          <w:rFonts w:ascii="Arial" w:hAnsi="Arial" w:cs="Arial"/>
          <w:color w:val="auto"/>
          <w:sz w:val="20"/>
          <w:szCs w:val="20"/>
        </w:rPr>
        <w:t xml:space="preserve">as an essential marketing tool </w:t>
      </w:r>
      <w:r w:rsidR="00660B03" w:rsidRPr="00660B03">
        <w:rPr>
          <w:rFonts w:ascii="Arial" w:hAnsi="Arial" w:cs="Arial"/>
          <w:color w:val="auto"/>
          <w:sz w:val="20"/>
          <w:szCs w:val="20"/>
        </w:rPr>
        <w:t>in Europe</w:t>
      </w:r>
      <w:r w:rsidR="00E33546">
        <w:rPr>
          <w:rFonts w:ascii="Arial" w:hAnsi="Arial" w:cs="Arial"/>
          <w:color w:val="auto"/>
          <w:sz w:val="20"/>
          <w:szCs w:val="20"/>
        </w:rPr>
        <w:t>,</w:t>
      </w:r>
      <w:r w:rsidR="00660B03" w:rsidRPr="00660B03">
        <w:rPr>
          <w:rFonts w:ascii="Arial" w:hAnsi="Arial" w:cs="Arial"/>
          <w:color w:val="auto"/>
          <w:sz w:val="20"/>
          <w:szCs w:val="20"/>
        </w:rPr>
        <w:t xml:space="preserve"> including sizing the market in </w:t>
      </w:r>
      <w:r w:rsidR="00DA1288">
        <w:rPr>
          <w:rFonts w:ascii="Arial" w:hAnsi="Arial" w:cs="Arial"/>
          <w:color w:val="auto"/>
          <w:sz w:val="20"/>
          <w:szCs w:val="20"/>
        </w:rPr>
        <w:t>Q3</w:t>
      </w:r>
      <w:r w:rsidR="00DA1288" w:rsidRPr="00660B03">
        <w:rPr>
          <w:rFonts w:ascii="Arial" w:hAnsi="Arial" w:cs="Arial"/>
          <w:color w:val="auto"/>
          <w:sz w:val="20"/>
          <w:szCs w:val="20"/>
        </w:rPr>
        <w:t xml:space="preserve"> </w:t>
      </w:r>
      <w:r w:rsidR="00660B03" w:rsidRPr="00660B03">
        <w:rPr>
          <w:rFonts w:ascii="Arial" w:hAnsi="Arial" w:cs="Arial"/>
          <w:color w:val="auto"/>
          <w:sz w:val="20"/>
          <w:szCs w:val="20"/>
        </w:rPr>
        <w:t>2014</w:t>
      </w:r>
      <w:r w:rsidR="00660B03">
        <w:rPr>
          <w:rFonts w:ascii="Arial" w:hAnsi="Arial" w:cs="Arial"/>
          <w:color w:val="auto"/>
          <w:sz w:val="20"/>
          <w:szCs w:val="20"/>
        </w:rPr>
        <w:t>.</w:t>
      </w:r>
    </w:p>
    <w:p w:rsidR="00B83A5D" w:rsidRDefault="00B83A5D" w:rsidP="00B83A5D">
      <w:pPr>
        <w:widowControl w:val="0"/>
        <w:autoSpaceDE w:val="0"/>
        <w:autoSpaceDN w:val="0"/>
        <w:adjustRightInd w:val="0"/>
        <w:spacing w:after="0" w:line="360" w:lineRule="auto"/>
        <w:rPr>
          <w:rFonts w:ascii="Arial" w:hAnsi="Arial" w:cs="Arial"/>
          <w:b/>
          <w:color w:val="auto"/>
        </w:rPr>
      </w:pPr>
    </w:p>
    <w:p w:rsidR="00FD0882" w:rsidRPr="00FD0882" w:rsidRDefault="00B83A5D" w:rsidP="00FD0882">
      <w:pPr>
        <w:widowControl w:val="0"/>
        <w:autoSpaceDE w:val="0"/>
        <w:autoSpaceDN w:val="0"/>
        <w:adjustRightInd w:val="0"/>
        <w:spacing w:after="0" w:line="360" w:lineRule="auto"/>
        <w:rPr>
          <w:rFonts w:ascii="Arial" w:hAnsi="Arial" w:cs="Arial"/>
          <w:b/>
          <w:color w:val="auto"/>
          <w:sz w:val="20"/>
          <w:szCs w:val="20"/>
        </w:rPr>
      </w:pPr>
      <w:r>
        <w:rPr>
          <w:rFonts w:ascii="Arial" w:hAnsi="Arial" w:cs="Arial"/>
          <w:color w:val="auto"/>
          <w:sz w:val="20"/>
          <w:szCs w:val="20"/>
        </w:rPr>
        <w:t xml:space="preserve">According to </w:t>
      </w:r>
      <w:r w:rsidR="00721887">
        <w:rPr>
          <w:rFonts w:ascii="Arial" w:hAnsi="Arial" w:cs="Arial"/>
          <w:color w:val="auto"/>
          <w:sz w:val="20"/>
          <w:szCs w:val="20"/>
        </w:rPr>
        <w:t xml:space="preserve">IAB Europe’s </w:t>
      </w:r>
      <w:proofErr w:type="spellStart"/>
      <w:r w:rsidR="00721887">
        <w:rPr>
          <w:rFonts w:ascii="Arial" w:hAnsi="Arial" w:cs="Arial"/>
          <w:color w:val="auto"/>
          <w:sz w:val="20"/>
          <w:szCs w:val="20"/>
        </w:rPr>
        <w:t>AdEx</w:t>
      </w:r>
      <w:proofErr w:type="spellEnd"/>
      <w:r w:rsidR="00721887">
        <w:rPr>
          <w:rFonts w:ascii="Arial" w:hAnsi="Arial" w:cs="Arial"/>
          <w:color w:val="auto"/>
          <w:sz w:val="20"/>
          <w:szCs w:val="20"/>
        </w:rPr>
        <w:t xml:space="preserve"> Benchmark 2013 Report</w:t>
      </w:r>
      <w:r w:rsidR="00433964" w:rsidRPr="003C6E33">
        <w:rPr>
          <w:rFonts w:ascii="Arial" w:hAnsi="Arial" w:cs="Arial"/>
          <w:color w:val="auto"/>
          <w:sz w:val="20"/>
          <w:szCs w:val="20"/>
          <w:vertAlign w:val="superscript"/>
        </w:rPr>
        <w:t>1</w:t>
      </w:r>
      <w:r w:rsidR="00721887" w:rsidRPr="003C6E33">
        <w:rPr>
          <w:rFonts w:ascii="Arial" w:hAnsi="Arial" w:cs="Arial"/>
          <w:color w:val="auto"/>
          <w:sz w:val="20"/>
          <w:szCs w:val="20"/>
          <w:vertAlign w:val="superscript"/>
        </w:rPr>
        <w:t xml:space="preserve"> </w:t>
      </w:r>
      <w:r w:rsidR="00721887">
        <w:rPr>
          <w:rFonts w:ascii="Arial" w:hAnsi="Arial" w:cs="Arial"/>
          <w:color w:val="auto"/>
          <w:sz w:val="20"/>
          <w:szCs w:val="20"/>
        </w:rPr>
        <w:t xml:space="preserve">and </w:t>
      </w:r>
      <w:r>
        <w:rPr>
          <w:rFonts w:ascii="Arial" w:hAnsi="Arial" w:cs="Arial"/>
          <w:color w:val="auto"/>
          <w:sz w:val="20"/>
          <w:szCs w:val="20"/>
        </w:rPr>
        <w:t xml:space="preserve">recent research from IAB Europe, </w:t>
      </w:r>
      <w:r w:rsidRPr="00B83A5D">
        <w:rPr>
          <w:rFonts w:ascii="Arial" w:hAnsi="Arial" w:cs="Arial"/>
          <w:color w:val="auto"/>
          <w:sz w:val="20"/>
          <w:szCs w:val="20"/>
        </w:rPr>
        <w:t>WARC and AppNexus</w:t>
      </w:r>
      <w:r w:rsidR="00433964" w:rsidRPr="003C6E33">
        <w:rPr>
          <w:rFonts w:ascii="Arial" w:hAnsi="Arial" w:cs="Arial"/>
          <w:color w:val="auto"/>
          <w:sz w:val="20"/>
          <w:szCs w:val="20"/>
          <w:vertAlign w:val="superscript"/>
        </w:rPr>
        <w:t>2</w:t>
      </w:r>
      <w:r w:rsidRPr="00B83A5D">
        <w:rPr>
          <w:rFonts w:ascii="Arial" w:hAnsi="Arial" w:cs="Arial"/>
          <w:color w:val="auto"/>
          <w:sz w:val="20"/>
          <w:szCs w:val="20"/>
        </w:rPr>
        <w:t xml:space="preserve"> </w:t>
      </w:r>
      <w:r w:rsidRPr="00433964">
        <w:rPr>
          <w:rFonts w:ascii="Arial" w:hAnsi="Arial" w:cs="Arial"/>
          <w:color w:val="auto"/>
          <w:sz w:val="20"/>
          <w:szCs w:val="20"/>
        </w:rPr>
        <w:t xml:space="preserve">Programmatic </w:t>
      </w:r>
      <w:r w:rsidR="00AB7883" w:rsidRPr="003C6E33">
        <w:rPr>
          <w:rFonts w:ascii="Arial" w:hAnsi="Arial" w:cs="Arial"/>
          <w:color w:val="auto"/>
          <w:sz w:val="20"/>
          <w:szCs w:val="20"/>
        </w:rPr>
        <w:t xml:space="preserve">is </w:t>
      </w:r>
      <w:r w:rsidR="00805F7B">
        <w:rPr>
          <w:rFonts w:ascii="Arial" w:hAnsi="Arial" w:cs="Arial"/>
          <w:color w:val="auto"/>
          <w:sz w:val="20"/>
          <w:szCs w:val="20"/>
        </w:rPr>
        <w:t>both</w:t>
      </w:r>
      <w:r w:rsidR="00570497" w:rsidRPr="003C6E33">
        <w:rPr>
          <w:rFonts w:ascii="Arial" w:hAnsi="Arial" w:cs="Arial"/>
          <w:color w:val="auto"/>
          <w:sz w:val="20"/>
          <w:szCs w:val="20"/>
        </w:rPr>
        <w:t xml:space="preserve"> </w:t>
      </w:r>
      <w:r w:rsidR="00721887" w:rsidRPr="003C6E33">
        <w:rPr>
          <w:rFonts w:ascii="Arial" w:hAnsi="Arial" w:cs="Arial"/>
          <w:color w:val="auto"/>
          <w:sz w:val="20"/>
          <w:szCs w:val="20"/>
        </w:rPr>
        <w:t>having</w:t>
      </w:r>
      <w:r w:rsidR="00962BB0" w:rsidRPr="003C6E33">
        <w:rPr>
          <w:rFonts w:ascii="Arial" w:hAnsi="Arial" w:cs="Arial"/>
          <w:color w:val="auto"/>
          <w:sz w:val="20"/>
          <w:szCs w:val="20"/>
        </w:rPr>
        <w:t xml:space="preserve"> an </w:t>
      </w:r>
      <w:r w:rsidRPr="003C6E33">
        <w:rPr>
          <w:rFonts w:ascii="Arial" w:hAnsi="Arial" w:cs="Arial"/>
          <w:color w:val="auto"/>
          <w:sz w:val="20"/>
          <w:szCs w:val="20"/>
        </w:rPr>
        <w:t>im</w:t>
      </w:r>
      <w:r w:rsidR="00063199" w:rsidRPr="003C6E33">
        <w:rPr>
          <w:rFonts w:ascii="Arial" w:hAnsi="Arial" w:cs="Arial"/>
          <w:color w:val="auto"/>
          <w:sz w:val="20"/>
          <w:szCs w:val="20"/>
        </w:rPr>
        <w:t xml:space="preserve">pact on </w:t>
      </w:r>
      <w:r w:rsidR="00805F7B">
        <w:rPr>
          <w:rFonts w:ascii="Arial" w:hAnsi="Arial" w:cs="Arial"/>
          <w:color w:val="auto"/>
          <w:sz w:val="20"/>
          <w:szCs w:val="20"/>
        </w:rPr>
        <w:t xml:space="preserve">the buying and selling of </w:t>
      </w:r>
      <w:r w:rsidR="00063199" w:rsidRPr="003C6E33">
        <w:rPr>
          <w:rFonts w:ascii="Arial" w:hAnsi="Arial" w:cs="Arial"/>
          <w:color w:val="auto"/>
          <w:sz w:val="20"/>
          <w:szCs w:val="20"/>
        </w:rPr>
        <w:t>digital advertising</w:t>
      </w:r>
      <w:r w:rsidR="00805F7B">
        <w:rPr>
          <w:rFonts w:ascii="Arial" w:hAnsi="Arial" w:cs="Arial"/>
          <w:color w:val="auto"/>
          <w:sz w:val="20"/>
          <w:szCs w:val="20"/>
        </w:rPr>
        <w:t xml:space="preserve"> and is an important driver of growth</w:t>
      </w:r>
      <w:r w:rsidR="00063199" w:rsidRPr="00433964">
        <w:rPr>
          <w:rFonts w:ascii="Arial" w:hAnsi="Arial" w:cs="Arial"/>
          <w:color w:val="auto"/>
          <w:sz w:val="20"/>
          <w:szCs w:val="20"/>
        </w:rPr>
        <w:t xml:space="preserve">. </w:t>
      </w:r>
      <w:r w:rsidRPr="00433964">
        <w:rPr>
          <w:rFonts w:ascii="Arial" w:hAnsi="Arial" w:cs="Arial"/>
          <w:color w:val="auto"/>
          <w:sz w:val="20"/>
          <w:szCs w:val="20"/>
        </w:rPr>
        <w:t>However</w:t>
      </w:r>
      <w:r w:rsidR="00805F7B">
        <w:rPr>
          <w:rFonts w:ascii="Arial" w:hAnsi="Arial" w:cs="Arial"/>
          <w:color w:val="auto"/>
          <w:sz w:val="20"/>
          <w:szCs w:val="20"/>
        </w:rPr>
        <w:t>,</w:t>
      </w:r>
      <w:r w:rsidR="000128DD" w:rsidRPr="00433964">
        <w:rPr>
          <w:rFonts w:ascii="Arial" w:hAnsi="Arial" w:cs="Arial"/>
          <w:color w:val="auto"/>
          <w:sz w:val="20"/>
          <w:szCs w:val="20"/>
        </w:rPr>
        <w:t xml:space="preserve"> </w:t>
      </w:r>
      <w:r w:rsidR="00805F7B">
        <w:rPr>
          <w:rFonts w:ascii="Arial" w:hAnsi="Arial" w:cs="Arial"/>
          <w:color w:val="auto"/>
          <w:sz w:val="20"/>
          <w:szCs w:val="20"/>
        </w:rPr>
        <w:t>its development</w:t>
      </w:r>
      <w:r w:rsidRPr="00433964">
        <w:rPr>
          <w:rFonts w:ascii="Arial" w:hAnsi="Arial" w:cs="Arial"/>
          <w:color w:val="auto"/>
          <w:sz w:val="20"/>
          <w:szCs w:val="20"/>
        </w:rPr>
        <w:t xml:space="preserve"> is being hindered by a lack</w:t>
      </w:r>
      <w:r w:rsidRPr="00B83A5D">
        <w:rPr>
          <w:rFonts w:ascii="Arial" w:hAnsi="Arial" w:cs="Arial"/>
          <w:color w:val="auto"/>
          <w:sz w:val="20"/>
          <w:szCs w:val="20"/>
        </w:rPr>
        <w:t xml:space="preserve"> of technical and commercial understanding in the advertising community.</w:t>
      </w:r>
      <w:r w:rsidR="00DA05C8">
        <w:rPr>
          <w:rFonts w:ascii="Arial" w:hAnsi="Arial" w:cs="Arial"/>
          <w:color w:val="auto"/>
          <w:sz w:val="20"/>
          <w:szCs w:val="20"/>
        </w:rPr>
        <w:t xml:space="preserve"> </w:t>
      </w:r>
      <w:r w:rsidR="003C6E33">
        <w:rPr>
          <w:rFonts w:ascii="Arial" w:hAnsi="Arial" w:cs="Arial"/>
          <w:color w:val="auto"/>
          <w:sz w:val="20"/>
          <w:szCs w:val="20"/>
        </w:rPr>
        <w:t>IAB Europe is</w:t>
      </w:r>
      <w:r w:rsidR="002134A6">
        <w:rPr>
          <w:rFonts w:ascii="Arial" w:hAnsi="Arial" w:cs="Arial"/>
          <w:color w:val="auto"/>
          <w:sz w:val="20"/>
          <w:szCs w:val="20"/>
        </w:rPr>
        <w:t xml:space="preserve"> approaching the</w:t>
      </w:r>
      <w:r w:rsidR="000128DD" w:rsidRPr="000128DD">
        <w:rPr>
          <w:rFonts w:ascii="Arial" w:hAnsi="Arial" w:cs="Arial"/>
          <w:color w:val="auto"/>
          <w:sz w:val="20"/>
          <w:szCs w:val="20"/>
        </w:rPr>
        <w:t xml:space="preserve"> task of explaining how </w:t>
      </w:r>
      <w:r w:rsidR="000128DD">
        <w:rPr>
          <w:rFonts w:ascii="Arial" w:hAnsi="Arial" w:cs="Arial"/>
          <w:color w:val="auto"/>
          <w:sz w:val="20"/>
          <w:szCs w:val="20"/>
        </w:rPr>
        <w:t>Programmatic Trading</w:t>
      </w:r>
      <w:r w:rsidR="000128DD" w:rsidRPr="000128DD">
        <w:rPr>
          <w:rFonts w:ascii="Arial" w:hAnsi="Arial" w:cs="Arial"/>
          <w:color w:val="auto"/>
          <w:sz w:val="20"/>
          <w:szCs w:val="20"/>
        </w:rPr>
        <w:t xml:space="preserve"> works and its place within the rich and varied European digital </w:t>
      </w:r>
      <w:r w:rsidR="00510391">
        <w:rPr>
          <w:rFonts w:ascii="Arial" w:hAnsi="Arial" w:cs="Arial"/>
          <w:color w:val="auto"/>
          <w:sz w:val="20"/>
          <w:szCs w:val="20"/>
        </w:rPr>
        <w:t xml:space="preserve">ecosystem in a variety of ways, </w:t>
      </w:r>
      <w:r w:rsidR="000128DD" w:rsidRPr="000128DD">
        <w:rPr>
          <w:rFonts w:ascii="Arial" w:hAnsi="Arial" w:cs="Arial"/>
          <w:color w:val="auto"/>
          <w:sz w:val="20"/>
          <w:szCs w:val="20"/>
        </w:rPr>
        <w:t>including</w:t>
      </w:r>
      <w:r w:rsidR="00510391">
        <w:rPr>
          <w:rFonts w:ascii="Arial" w:hAnsi="Arial" w:cs="Arial"/>
          <w:color w:val="auto"/>
          <w:sz w:val="20"/>
          <w:szCs w:val="20"/>
        </w:rPr>
        <w:t>,</w:t>
      </w:r>
      <w:r w:rsidR="000128DD" w:rsidRPr="000128DD">
        <w:rPr>
          <w:rFonts w:ascii="Arial" w:hAnsi="Arial" w:cs="Arial"/>
          <w:color w:val="auto"/>
          <w:sz w:val="20"/>
          <w:szCs w:val="20"/>
        </w:rPr>
        <w:t xml:space="preserve"> for example</w:t>
      </w:r>
      <w:r w:rsidR="00510391">
        <w:rPr>
          <w:rFonts w:ascii="Arial" w:hAnsi="Arial" w:cs="Arial"/>
          <w:color w:val="auto"/>
          <w:sz w:val="20"/>
          <w:szCs w:val="20"/>
        </w:rPr>
        <w:t>,</w:t>
      </w:r>
      <w:r w:rsidR="000128DD" w:rsidRPr="000128DD">
        <w:rPr>
          <w:rFonts w:ascii="Arial" w:hAnsi="Arial" w:cs="Arial"/>
          <w:color w:val="auto"/>
          <w:sz w:val="20"/>
          <w:szCs w:val="20"/>
        </w:rPr>
        <w:t xml:space="preserve"> through the</w:t>
      </w:r>
      <w:r w:rsidR="00C953CE">
        <w:rPr>
          <w:rFonts w:ascii="Arial" w:hAnsi="Arial" w:cs="Arial"/>
          <w:color w:val="auto"/>
          <w:sz w:val="20"/>
          <w:szCs w:val="20"/>
        </w:rPr>
        <w:t xml:space="preserve"> establishment of a</w:t>
      </w:r>
      <w:r w:rsidR="000128DD" w:rsidRPr="000128DD">
        <w:rPr>
          <w:rFonts w:ascii="Arial" w:hAnsi="Arial" w:cs="Arial"/>
          <w:color w:val="auto"/>
          <w:sz w:val="20"/>
          <w:szCs w:val="20"/>
        </w:rPr>
        <w:t xml:space="preserve"> </w:t>
      </w:r>
      <w:r w:rsidR="000128DD" w:rsidRPr="003C6E33">
        <w:rPr>
          <w:rFonts w:ascii="Arial" w:hAnsi="Arial" w:cs="Arial"/>
          <w:b/>
          <w:color w:val="auto"/>
          <w:sz w:val="20"/>
          <w:szCs w:val="20"/>
        </w:rPr>
        <w:t xml:space="preserve">Programmatic </w:t>
      </w:r>
      <w:r w:rsidR="00C953CE">
        <w:rPr>
          <w:rFonts w:ascii="Arial" w:hAnsi="Arial" w:cs="Arial"/>
          <w:b/>
          <w:color w:val="auto"/>
          <w:sz w:val="20"/>
          <w:szCs w:val="20"/>
        </w:rPr>
        <w:t>Trading</w:t>
      </w:r>
      <w:r w:rsidR="00C953CE" w:rsidRPr="003C6E33">
        <w:rPr>
          <w:rFonts w:ascii="Arial" w:hAnsi="Arial" w:cs="Arial"/>
          <w:b/>
          <w:color w:val="auto"/>
          <w:sz w:val="20"/>
          <w:szCs w:val="20"/>
        </w:rPr>
        <w:t xml:space="preserve"> </w:t>
      </w:r>
      <w:r w:rsidR="000128DD" w:rsidRPr="003C6E33">
        <w:rPr>
          <w:rFonts w:ascii="Arial" w:hAnsi="Arial" w:cs="Arial"/>
          <w:b/>
          <w:color w:val="auto"/>
          <w:sz w:val="20"/>
          <w:szCs w:val="20"/>
        </w:rPr>
        <w:t>Task Force</w:t>
      </w:r>
      <w:r w:rsidR="000D47F6" w:rsidRPr="000D47F6">
        <w:rPr>
          <w:rFonts w:ascii="Arial" w:hAnsi="Arial" w:cs="Arial"/>
          <w:b/>
          <w:color w:val="auto"/>
          <w:sz w:val="20"/>
          <w:szCs w:val="20"/>
          <w:vertAlign w:val="superscript"/>
        </w:rPr>
        <w:t>3</w:t>
      </w:r>
      <w:r w:rsidR="00DA1288">
        <w:rPr>
          <w:rFonts w:ascii="Arial" w:hAnsi="Arial" w:cs="Arial"/>
          <w:b/>
          <w:color w:val="auto"/>
          <w:sz w:val="20"/>
          <w:szCs w:val="20"/>
        </w:rPr>
        <w:t>.</w:t>
      </w:r>
      <w:r w:rsidR="00FD0882">
        <w:rPr>
          <w:rFonts w:ascii="Arial" w:hAnsi="Arial" w:cs="Arial"/>
          <w:b/>
          <w:color w:val="auto"/>
          <w:sz w:val="20"/>
          <w:szCs w:val="20"/>
        </w:rPr>
        <w:t xml:space="preserve"> </w:t>
      </w:r>
      <w:r w:rsidR="00FD0882" w:rsidRPr="00FD0882">
        <w:rPr>
          <w:rFonts w:ascii="Arial" w:hAnsi="Arial" w:cs="Arial"/>
          <w:color w:val="auto"/>
          <w:sz w:val="20"/>
          <w:szCs w:val="20"/>
          <w:lang w:val="en-GB"/>
        </w:rPr>
        <w:t>This Task Force will identify standard definitions for the different elements of Programmatic prioritising both comparability across Europe and compatibility with initiatives from IAB US; it will conduct research amongst the relevant stakeholders and undertake other educational initiatives.</w:t>
      </w:r>
    </w:p>
    <w:p w:rsidR="000F39FC" w:rsidRDefault="000F39FC" w:rsidP="00E33546">
      <w:pPr>
        <w:widowControl w:val="0"/>
        <w:autoSpaceDE w:val="0"/>
        <w:autoSpaceDN w:val="0"/>
        <w:adjustRightInd w:val="0"/>
        <w:spacing w:after="0" w:line="360" w:lineRule="auto"/>
        <w:rPr>
          <w:rFonts w:ascii="Arial" w:hAnsi="Arial" w:cs="Arial"/>
          <w:color w:val="auto"/>
          <w:sz w:val="20"/>
          <w:szCs w:val="20"/>
        </w:rPr>
      </w:pPr>
    </w:p>
    <w:p w:rsidR="003C6E33" w:rsidRDefault="00A87974" w:rsidP="00E33546">
      <w:pPr>
        <w:widowControl w:val="0"/>
        <w:autoSpaceDE w:val="0"/>
        <w:autoSpaceDN w:val="0"/>
        <w:adjustRightInd w:val="0"/>
        <w:spacing w:after="0" w:line="360" w:lineRule="auto"/>
        <w:rPr>
          <w:rFonts w:ascii="Arial" w:hAnsi="Arial" w:cs="Arial"/>
          <w:color w:val="auto"/>
          <w:sz w:val="20"/>
          <w:szCs w:val="20"/>
        </w:rPr>
      </w:pPr>
      <w:r w:rsidRPr="00DA05C8">
        <w:rPr>
          <w:rFonts w:ascii="Arial" w:hAnsi="Arial" w:cs="Arial"/>
          <w:color w:val="auto"/>
          <w:sz w:val="20"/>
          <w:szCs w:val="20"/>
        </w:rPr>
        <w:t>Despite the fast growth of Programmatic Trading, there is still a lack of reliable and comprehensive market size information</w:t>
      </w:r>
      <w:r>
        <w:rPr>
          <w:rFonts w:ascii="Arial" w:hAnsi="Arial" w:cs="Arial"/>
          <w:color w:val="auto"/>
          <w:sz w:val="20"/>
          <w:szCs w:val="20"/>
        </w:rPr>
        <w:t xml:space="preserve">. IAB Europe is therefore undertaking </w:t>
      </w:r>
      <w:r w:rsidRPr="00740882">
        <w:rPr>
          <w:rFonts w:ascii="Arial" w:hAnsi="Arial" w:cs="Arial"/>
          <w:color w:val="auto"/>
          <w:sz w:val="20"/>
          <w:szCs w:val="20"/>
        </w:rPr>
        <w:t xml:space="preserve">a </w:t>
      </w:r>
      <w:r w:rsidR="000128DD">
        <w:rPr>
          <w:rFonts w:ascii="Arial" w:hAnsi="Arial" w:cs="Arial"/>
          <w:color w:val="auto"/>
          <w:sz w:val="20"/>
          <w:szCs w:val="20"/>
        </w:rPr>
        <w:t xml:space="preserve">European </w:t>
      </w:r>
      <w:r w:rsidRPr="002765B4">
        <w:rPr>
          <w:rFonts w:ascii="Arial" w:hAnsi="Arial" w:cs="Arial"/>
          <w:b/>
          <w:color w:val="auto"/>
          <w:sz w:val="20"/>
          <w:szCs w:val="20"/>
        </w:rPr>
        <w:t>Programmatic Trading market sizing</w:t>
      </w:r>
      <w:r w:rsidRPr="00740882">
        <w:rPr>
          <w:rFonts w:ascii="Arial" w:hAnsi="Arial" w:cs="Arial"/>
          <w:color w:val="auto"/>
          <w:sz w:val="20"/>
          <w:szCs w:val="20"/>
        </w:rPr>
        <w:t xml:space="preserve"> </w:t>
      </w:r>
      <w:r w:rsidR="0042295D">
        <w:rPr>
          <w:rFonts w:ascii="Arial" w:hAnsi="Arial" w:cs="Arial"/>
          <w:color w:val="auto"/>
          <w:sz w:val="20"/>
          <w:szCs w:val="20"/>
        </w:rPr>
        <w:t xml:space="preserve">which will be released </w:t>
      </w:r>
      <w:r w:rsidRPr="00740882">
        <w:rPr>
          <w:rFonts w:ascii="Arial" w:hAnsi="Arial" w:cs="Arial"/>
          <w:color w:val="auto"/>
          <w:sz w:val="20"/>
          <w:szCs w:val="20"/>
        </w:rPr>
        <w:t xml:space="preserve">in </w:t>
      </w:r>
      <w:r w:rsidR="0042295D">
        <w:rPr>
          <w:rFonts w:ascii="Arial" w:hAnsi="Arial" w:cs="Arial"/>
          <w:color w:val="auto"/>
          <w:sz w:val="20"/>
          <w:szCs w:val="20"/>
        </w:rPr>
        <w:t>Q3</w:t>
      </w:r>
      <w:r w:rsidR="0042295D" w:rsidRPr="00740882">
        <w:rPr>
          <w:rFonts w:ascii="Arial" w:hAnsi="Arial" w:cs="Arial"/>
          <w:color w:val="auto"/>
          <w:sz w:val="20"/>
          <w:szCs w:val="20"/>
        </w:rPr>
        <w:t xml:space="preserve"> </w:t>
      </w:r>
      <w:r w:rsidRPr="00740882">
        <w:rPr>
          <w:rFonts w:ascii="Arial" w:hAnsi="Arial" w:cs="Arial"/>
          <w:color w:val="auto"/>
          <w:sz w:val="20"/>
          <w:szCs w:val="20"/>
        </w:rPr>
        <w:t xml:space="preserve">2014, </w:t>
      </w:r>
      <w:r w:rsidR="003C6E33">
        <w:rPr>
          <w:rFonts w:ascii="Arial" w:hAnsi="Arial" w:cs="Arial"/>
          <w:color w:val="auto"/>
          <w:sz w:val="20"/>
          <w:szCs w:val="20"/>
        </w:rPr>
        <w:t xml:space="preserve">in </w:t>
      </w:r>
      <w:r w:rsidR="00805F7B">
        <w:rPr>
          <w:rFonts w:ascii="Arial" w:hAnsi="Arial" w:cs="Arial"/>
          <w:color w:val="auto"/>
          <w:sz w:val="20"/>
          <w:szCs w:val="20"/>
        </w:rPr>
        <w:t>co-operation</w:t>
      </w:r>
      <w:r w:rsidR="003C6E33">
        <w:rPr>
          <w:rFonts w:ascii="Arial" w:hAnsi="Arial" w:cs="Arial"/>
          <w:color w:val="auto"/>
          <w:sz w:val="20"/>
          <w:szCs w:val="20"/>
        </w:rPr>
        <w:t xml:space="preserve"> with </w:t>
      </w:r>
      <w:r w:rsidR="00805F7B">
        <w:rPr>
          <w:rFonts w:ascii="Arial" w:hAnsi="Arial" w:cs="Arial"/>
          <w:color w:val="auto"/>
          <w:sz w:val="20"/>
          <w:szCs w:val="20"/>
        </w:rPr>
        <w:t>its</w:t>
      </w:r>
      <w:r w:rsidR="000128DD">
        <w:rPr>
          <w:rFonts w:ascii="Arial" w:hAnsi="Arial" w:cs="Arial"/>
          <w:color w:val="auto"/>
          <w:sz w:val="20"/>
          <w:szCs w:val="20"/>
        </w:rPr>
        <w:t xml:space="preserve"> </w:t>
      </w:r>
      <w:proofErr w:type="spellStart"/>
      <w:r w:rsidR="000128DD">
        <w:rPr>
          <w:rFonts w:ascii="Arial" w:hAnsi="Arial" w:cs="Arial"/>
          <w:color w:val="auto"/>
          <w:sz w:val="20"/>
          <w:szCs w:val="20"/>
        </w:rPr>
        <w:t>AdEx</w:t>
      </w:r>
      <w:proofErr w:type="spellEnd"/>
      <w:r w:rsidR="000128DD">
        <w:rPr>
          <w:rFonts w:ascii="Arial" w:hAnsi="Arial" w:cs="Arial"/>
          <w:color w:val="auto"/>
          <w:sz w:val="20"/>
          <w:szCs w:val="20"/>
        </w:rPr>
        <w:t xml:space="preserve"> Benchmark Task Force and </w:t>
      </w:r>
      <w:r w:rsidRPr="00740882">
        <w:rPr>
          <w:rFonts w:ascii="Arial" w:hAnsi="Arial" w:cs="Arial"/>
          <w:color w:val="auto"/>
          <w:sz w:val="20"/>
          <w:szCs w:val="20"/>
        </w:rPr>
        <w:t>IHS Technology</w:t>
      </w:r>
      <w:r w:rsidR="003C6E33">
        <w:rPr>
          <w:rFonts w:ascii="Arial" w:hAnsi="Arial" w:cs="Arial"/>
          <w:color w:val="auto"/>
          <w:sz w:val="20"/>
          <w:szCs w:val="20"/>
        </w:rPr>
        <w:t>.</w:t>
      </w:r>
    </w:p>
    <w:p w:rsidR="003C6E33" w:rsidRDefault="003C6E33" w:rsidP="00E33546">
      <w:pPr>
        <w:widowControl w:val="0"/>
        <w:autoSpaceDE w:val="0"/>
        <w:autoSpaceDN w:val="0"/>
        <w:adjustRightInd w:val="0"/>
        <w:spacing w:after="0" w:line="360" w:lineRule="auto"/>
        <w:rPr>
          <w:rFonts w:ascii="Arial" w:hAnsi="Arial" w:cs="Arial"/>
          <w:color w:val="auto"/>
          <w:sz w:val="20"/>
          <w:szCs w:val="20"/>
        </w:rPr>
      </w:pPr>
    </w:p>
    <w:p w:rsidR="005A1C73" w:rsidRDefault="003F43E2" w:rsidP="00E33546">
      <w:pPr>
        <w:widowControl w:val="0"/>
        <w:autoSpaceDE w:val="0"/>
        <w:autoSpaceDN w:val="0"/>
        <w:adjustRightInd w:val="0"/>
        <w:spacing w:after="0" w:line="360" w:lineRule="auto"/>
        <w:rPr>
          <w:rFonts w:ascii="Arial" w:hAnsi="Arial" w:cs="Arial"/>
          <w:color w:val="auto"/>
          <w:sz w:val="20"/>
          <w:szCs w:val="20"/>
        </w:rPr>
      </w:pPr>
      <w:r>
        <w:rPr>
          <w:rFonts w:ascii="Arial" w:hAnsi="Arial" w:cs="Arial"/>
          <w:color w:val="auto"/>
          <w:sz w:val="20"/>
          <w:szCs w:val="20"/>
        </w:rPr>
        <w:t xml:space="preserve">The launch of </w:t>
      </w:r>
      <w:r w:rsidR="00D77704">
        <w:rPr>
          <w:rFonts w:ascii="Arial" w:hAnsi="Arial" w:cs="Arial"/>
          <w:color w:val="auto"/>
          <w:sz w:val="20"/>
          <w:szCs w:val="20"/>
        </w:rPr>
        <w:t>IAB Europe</w:t>
      </w:r>
      <w:r>
        <w:rPr>
          <w:rFonts w:ascii="Arial" w:hAnsi="Arial" w:cs="Arial"/>
          <w:color w:val="auto"/>
          <w:sz w:val="20"/>
          <w:szCs w:val="20"/>
        </w:rPr>
        <w:t>’s</w:t>
      </w:r>
      <w:r w:rsidR="00D77704">
        <w:rPr>
          <w:rFonts w:ascii="Arial" w:hAnsi="Arial" w:cs="Arial"/>
          <w:color w:val="auto"/>
          <w:sz w:val="20"/>
          <w:szCs w:val="20"/>
        </w:rPr>
        <w:t xml:space="preserve"> first pan-European </w:t>
      </w:r>
      <w:r w:rsidR="00D77704" w:rsidRPr="002765B4">
        <w:rPr>
          <w:rFonts w:ascii="Arial" w:hAnsi="Arial" w:cs="Arial"/>
          <w:b/>
          <w:color w:val="auto"/>
          <w:sz w:val="20"/>
          <w:szCs w:val="20"/>
        </w:rPr>
        <w:t>Programmatic Trading White Paper</w:t>
      </w:r>
      <w:r w:rsidR="000D47F6">
        <w:rPr>
          <w:rFonts w:ascii="Arial" w:hAnsi="Arial" w:cs="Arial"/>
          <w:b/>
          <w:color w:val="auto"/>
          <w:sz w:val="20"/>
          <w:szCs w:val="20"/>
          <w:vertAlign w:val="superscript"/>
        </w:rPr>
        <w:t>4</w:t>
      </w:r>
      <w:r w:rsidR="00D77704" w:rsidRPr="00942A72">
        <w:rPr>
          <w:rFonts w:ascii="Arial" w:hAnsi="Arial" w:cs="Arial"/>
          <w:color w:val="auto"/>
          <w:sz w:val="20"/>
          <w:szCs w:val="20"/>
        </w:rPr>
        <w:t xml:space="preserve"> today</w:t>
      </w:r>
      <w:r w:rsidRPr="00942A72">
        <w:rPr>
          <w:rFonts w:ascii="Arial" w:hAnsi="Arial" w:cs="Arial"/>
          <w:color w:val="auto"/>
          <w:sz w:val="20"/>
          <w:szCs w:val="20"/>
        </w:rPr>
        <w:t xml:space="preserve"> </w:t>
      </w:r>
      <w:r w:rsidR="004B3344">
        <w:rPr>
          <w:rFonts w:ascii="Arial" w:hAnsi="Arial" w:cs="Arial"/>
          <w:color w:val="auto"/>
          <w:sz w:val="20"/>
          <w:szCs w:val="20"/>
        </w:rPr>
        <w:t xml:space="preserve">is the start of </w:t>
      </w:r>
      <w:r w:rsidR="00805F7B">
        <w:rPr>
          <w:rFonts w:ascii="Arial" w:hAnsi="Arial" w:cs="Arial"/>
          <w:color w:val="auto"/>
          <w:sz w:val="20"/>
          <w:szCs w:val="20"/>
        </w:rPr>
        <w:t xml:space="preserve">this </w:t>
      </w:r>
      <w:r w:rsidR="004B3344">
        <w:rPr>
          <w:rFonts w:ascii="Arial" w:hAnsi="Arial" w:cs="Arial"/>
          <w:color w:val="auto"/>
          <w:sz w:val="20"/>
          <w:szCs w:val="20"/>
        </w:rPr>
        <w:t>initiative</w:t>
      </w:r>
      <w:r w:rsidR="00942A72" w:rsidRPr="00942A72">
        <w:rPr>
          <w:rFonts w:ascii="Arial" w:hAnsi="Arial" w:cs="Arial"/>
          <w:color w:val="auto"/>
          <w:sz w:val="20"/>
          <w:szCs w:val="20"/>
        </w:rPr>
        <w:t xml:space="preserve"> to educate the digital advertising market</w:t>
      </w:r>
      <w:r w:rsidR="00D77704">
        <w:rPr>
          <w:rFonts w:ascii="Arial" w:hAnsi="Arial" w:cs="Arial"/>
          <w:color w:val="auto"/>
          <w:sz w:val="20"/>
          <w:szCs w:val="20"/>
        </w:rPr>
        <w:t xml:space="preserve">. </w:t>
      </w:r>
      <w:r w:rsidR="00D77704" w:rsidRPr="00740882">
        <w:rPr>
          <w:rFonts w:ascii="Arial" w:hAnsi="Arial" w:cs="Arial"/>
          <w:color w:val="auto"/>
          <w:sz w:val="20"/>
          <w:szCs w:val="20"/>
        </w:rPr>
        <w:t xml:space="preserve">The White Paper </w:t>
      </w:r>
      <w:r w:rsidR="00D77704">
        <w:rPr>
          <w:rFonts w:ascii="Arial" w:hAnsi="Arial" w:cs="Arial"/>
          <w:color w:val="auto"/>
          <w:sz w:val="20"/>
          <w:szCs w:val="20"/>
        </w:rPr>
        <w:t xml:space="preserve">has been produced with the input of </w:t>
      </w:r>
      <w:r w:rsidR="00D77704" w:rsidRPr="00E33546">
        <w:rPr>
          <w:rFonts w:ascii="Arial" w:hAnsi="Arial" w:cs="Arial"/>
          <w:color w:val="auto"/>
          <w:sz w:val="20"/>
          <w:szCs w:val="20"/>
        </w:rPr>
        <w:t>ADTECH,</w:t>
      </w:r>
      <w:r w:rsidR="00D77704">
        <w:rPr>
          <w:rFonts w:ascii="Arial" w:hAnsi="Arial" w:cs="Arial"/>
          <w:color w:val="auto"/>
          <w:sz w:val="20"/>
          <w:szCs w:val="20"/>
        </w:rPr>
        <w:t xml:space="preserve"> </w:t>
      </w:r>
      <w:proofErr w:type="spellStart"/>
      <w:r w:rsidR="00D77704">
        <w:rPr>
          <w:rFonts w:ascii="Arial" w:hAnsi="Arial" w:cs="Arial"/>
          <w:color w:val="auto"/>
          <w:sz w:val="20"/>
          <w:szCs w:val="20"/>
        </w:rPr>
        <w:t>AppNexus</w:t>
      </w:r>
      <w:proofErr w:type="spellEnd"/>
      <w:r w:rsidR="00D77704">
        <w:rPr>
          <w:rFonts w:ascii="Arial" w:hAnsi="Arial" w:cs="Arial"/>
          <w:color w:val="auto"/>
          <w:sz w:val="20"/>
          <w:szCs w:val="20"/>
        </w:rPr>
        <w:t xml:space="preserve">, </w:t>
      </w:r>
      <w:proofErr w:type="spellStart"/>
      <w:r w:rsidR="00D77704">
        <w:rPr>
          <w:rFonts w:ascii="Arial" w:hAnsi="Arial" w:cs="Arial"/>
          <w:color w:val="auto"/>
          <w:sz w:val="20"/>
          <w:szCs w:val="20"/>
        </w:rPr>
        <w:t>AudienceScience</w:t>
      </w:r>
      <w:proofErr w:type="spellEnd"/>
      <w:r w:rsidR="00D77704">
        <w:rPr>
          <w:rFonts w:ascii="Arial" w:hAnsi="Arial" w:cs="Arial"/>
          <w:color w:val="auto"/>
          <w:sz w:val="20"/>
          <w:szCs w:val="20"/>
        </w:rPr>
        <w:t xml:space="preserve">, </w:t>
      </w:r>
      <w:proofErr w:type="spellStart"/>
      <w:r w:rsidR="00D77704">
        <w:rPr>
          <w:rFonts w:ascii="Arial" w:hAnsi="Arial" w:cs="Arial"/>
          <w:color w:val="auto"/>
          <w:sz w:val="20"/>
          <w:szCs w:val="20"/>
        </w:rPr>
        <w:t>Cxense</w:t>
      </w:r>
      <w:proofErr w:type="spellEnd"/>
      <w:r w:rsidR="00D77704">
        <w:rPr>
          <w:rFonts w:ascii="Arial" w:hAnsi="Arial" w:cs="Arial"/>
          <w:color w:val="auto"/>
          <w:sz w:val="20"/>
          <w:szCs w:val="20"/>
        </w:rPr>
        <w:t xml:space="preserve">, </w:t>
      </w:r>
      <w:r w:rsidR="00A1583A" w:rsidRPr="00A1583A">
        <w:rPr>
          <w:rFonts w:ascii="Arial" w:hAnsi="Arial" w:cs="Arial"/>
          <w:color w:val="auto"/>
          <w:sz w:val="20"/>
          <w:szCs w:val="20"/>
        </w:rPr>
        <w:t>The Exchange Lab</w:t>
      </w:r>
      <w:r w:rsidR="00A1583A">
        <w:rPr>
          <w:rFonts w:ascii="Arial" w:hAnsi="Arial" w:cs="Arial"/>
          <w:color w:val="auto"/>
          <w:sz w:val="20"/>
          <w:szCs w:val="20"/>
        </w:rPr>
        <w:t xml:space="preserve">, </w:t>
      </w:r>
      <w:r w:rsidR="00D77704">
        <w:rPr>
          <w:rFonts w:ascii="Arial" w:hAnsi="Arial" w:cs="Arial"/>
          <w:color w:val="auto"/>
          <w:sz w:val="20"/>
          <w:szCs w:val="20"/>
        </w:rPr>
        <w:t>Improve Digital, Yahoo!,</w:t>
      </w:r>
      <w:r w:rsidR="00D77704" w:rsidRPr="00E33546">
        <w:rPr>
          <w:rFonts w:ascii="Arial" w:hAnsi="Arial" w:cs="Arial"/>
          <w:color w:val="auto"/>
          <w:sz w:val="20"/>
          <w:szCs w:val="20"/>
        </w:rPr>
        <w:t xml:space="preserve"> </w:t>
      </w:r>
      <w:proofErr w:type="spellStart"/>
      <w:r w:rsidR="00D77704">
        <w:rPr>
          <w:rFonts w:ascii="Arial" w:hAnsi="Arial" w:cs="Arial"/>
          <w:color w:val="auto"/>
          <w:sz w:val="20"/>
          <w:szCs w:val="20"/>
        </w:rPr>
        <w:t>Xaxis</w:t>
      </w:r>
      <w:proofErr w:type="spellEnd"/>
      <w:r w:rsidR="00D77704">
        <w:rPr>
          <w:rFonts w:ascii="Arial" w:hAnsi="Arial" w:cs="Arial"/>
          <w:color w:val="auto"/>
          <w:sz w:val="20"/>
          <w:szCs w:val="20"/>
        </w:rPr>
        <w:t xml:space="preserve"> and</w:t>
      </w:r>
      <w:r w:rsidR="00D77704" w:rsidRPr="00E33546">
        <w:rPr>
          <w:rFonts w:ascii="Arial" w:hAnsi="Arial" w:cs="Arial"/>
          <w:color w:val="auto"/>
          <w:sz w:val="20"/>
          <w:szCs w:val="20"/>
        </w:rPr>
        <w:t xml:space="preserve"> White &amp; Case</w:t>
      </w:r>
      <w:r w:rsidR="00D77704">
        <w:rPr>
          <w:rFonts w:ascii="Arial" w:hAnsi="Arial" w:cs="Arial"/>
          <w:color w:val="auto"/>
          <w:sz w:val="20"/>
          <w:szCs w:val="20"/>
        </w:rPr>
        <w:t xml:space="preserve"> and </w:t>
      </w:r>
      <w:r w:rsidR="00D77704" w:rsidRPr="00740882">
        <w:rPr>
          <w:rFonts w:ascii="Arial" w:hAnsi="Arial" w:cs="Arial"/>
          <w:color w:val="auto"/>
          <w:sz w:val="20"/>
          <w:szCs w:val="20"/>
        </w:rPr>
        <w:t>provides company-neutral, simple explanations about what Programmatic Trading is and illustrates the opportunity that it provides across the diverse European markets.</w:t>
      </w:r>
      <w:r w:rsidR="00D77704">
        <w:rPr>
          <w:rFonts w:ascii="Arial" w:hAnsi="Arial" w:cs="Arial"/>
          <w:color w:val="auto"/>
          <w:sz w:val="20"/>
          <w:szCs w:val="20"/>
        </w:rPr>
        <w:t xml:space="preserve"> </w:t>
      </w:r>
    </w:p>
    <w:p w:rsidR="00510391" w:rsidRDefault="00510391" w:rsidP="00E33546">
      <w:pPr>
        <w:widowControl w:val="0"/>
        <w:autoSpaceDE w:val="0"/>
        <w:autoSpaceDN w:val="0"/>
        <w:adjustRightInd w:val="0"/>
        <w:spacing w:after="0" w:line="360" w:lineRule="auto"/>
        <w:rPr>
          <w:rFonts w:ascii="Arial" w:hAnsi="Arial" w:cs="Arial"/>
          <w:color w:val="auto"/>
          <w:sz w:val="20"/>
          <w:szCs w:val="20"/>
        </w:rPr>
      </w:pPr>
    </w:p>
    <w:p w:rsidR="00EC4E36" w:rsidRDefault="00DA1288" w:rsidP="002134A6">
      <w:pPr>
        <w:widowControl w:val="0"/>
        <w:autoSpaceDE w:val="0"/>
        <w:autoSpaceDN w:val="0"/>
        <w:adjustRightInd w:val="0"/>
        <w:spacing w:after="0" w:line="360" w:lineRule="auto"/>
        <w:rPr>
          <w:rFonts w:ascii="Arial" w:hAnsi="Arial" w:cs="Arial"/>
          <w:b/>
          <w:color w:val="auto"/>
        </w:rPr>
      </w:pPr>
      <w:r>
        <w:rPr>
          <w:rFonts w:ascii="Arial" w:hAnsi="Arial" w:cs="Arial"/>
          <w:color w:val="auto"/>
          <w:sz w:val="20"/>
          <w:szCs w:val="20"/>
        </w:rPr>
        <w:t xml:space="preserve">As well as an analysis of the markets in which </w:t>
      </w:r>
      <w:r w:rsidR="00942A72">
        <w:rPr>
          <w:rFonts w:ascii="Arial" w:hAnsi="Arial" w:cs="Arial"/>
          <w:color w:val="auto"/>
          <w:sz w:val="20"/>
          <w:szCs w:val="20"/>
        </w:rPr>
        <w:t>Programmatic is more developed</w:t>
      </w:r>
      <w:r w:rsidR="00C953CE">
        <w:rPr>
          <w:rFonts w:ascii="Arial" w:hAnsi="Arial" w:cs="Arial"/>
          <w:color w:val="auto"/>
          <w:sz w:val="20"/>
          <w:szCs w:val="20"/>
        </w:rPr>
        <w:t xml:space="preserve">, the </w:t>
      </w:r>
      <w:r w:rsidR="00C953CE">
        <w:rPr>
          <w:rFonts w:ascii="Arial" w:hAnsi="Arial" w:cs="Arial"/>
          <w:color w:val="auto"/>
          <w:sz w:val="20"/>
          <w:szCs w:val="20"/>
        </w:rPr>
        <w:lastRenderedPageBreak/>
        <w:t>Netherlands, UK, France and Germany,</w:t>
      </w:r>
      <w:r w:rsidR="00942A72">
        <w:rPr>
          <w:rFonts w:ascii="Arial" w:hAnsi="Arial" w:cs="Arial"/>
          <w:color w:val="auto"/>
          <w:sz w:val="20"/>
          <w:szCs w:val="20"/>
        </w:rPr>
        <w:t xml:space="preserve"> t</w:t>
      </w:r>
      <w:r w:rsidR="007F3B65" w:rsidRPr="00962BB0">
        <w:rPr>
          <w:rFonts w:ascii="Arial" w:hAnsi="Arial" w:cs="Arial"/>
          <w:color w:val="auto"/>
          <w:sz w:val="20"/>
          <w:szCs w:val="20"/>
        </w:rPr>
        <w:t xml:space="preserve">he </w:t>
      </w:r>
      <w:r w:rsidR="007F3B65">
        <w:rPr>
          <w:rFonts w:ascii="Arial" w:hAnsi="Arial" w:cs="Arial"/>
          <w:color w:val="auto"/>
          <w:sz w:val="20"/>
          <w:szCs w:val="20"/>
        </w:rPr>
        <w:t>White Paper</w:t>
      </w:r>
      <w:r w:rsidR="007F3B65" w:rsidRPr="00962BB0">
        <w:rPr>
          <w:rFonts w:ascii="Arial" w:hAnsi="Arial" w:cs="Arial"/>
          <w:color w:val="auto"/>
          <w:sz w:val="20"/>
          <w:szCs w:val="20"/>
        </w:rPr>
        <w:t xml:space="preserve"> </w:t>
      </w:r>
      <w:r w:rsidR="007F3B65">
        <w:rPr>
          <w:rFonts w:ascii="Arial" w:hAnsi="Arial" w:cs="Arial"/>
          <w:color w:val="auto"/>
          <w:sz w:val="20"/>
          <w:szCs w:val="20"/>
        </w:rPr>
        <w:t xml:space="preserve">also </w:t>
      </w:r>
      <w:r w:rsidR="007F3B65" w:rsidRPr="00962BB0">
        <w:rPr>
          <w:rFonts w:ascii="Arial" w:hAnsi="Arial" w:cs="Arial"/>
          <w:color w:val="auto"/>
          <w:sz w:val="20"/>
          <w:szCs w:val="20"/>
        </w:rPr>
        <w:t xml:space="preserve">looks at the current state of Programmatic Trading </w:t>
      </w:r>
      <w:r w:rsidR="007F3B65">
        <w:rPr>
          <w:rFonts w:ascii="Arial" w:hAnsi="Arial" w:cs="Arial"/>
          <w:color w:val="auto"/>
          <w:sz w:val="20"/>
          <w:szCs w:val="20"/>
        </w:rPr>
        <w:t>for mobile, video, rich media and</w:t>
      </w:r>
      <w:r w:rsidR="007F3B65" w:rsidRPr="00962BB0">
        <w:rPr>
          <w:rFonts w:ascii="Arial" w:hAnsi="Arial" w:cs="Arial"/>
          <w:color w:val="auto"/>
          <w:sz w:val="20"/>
          <w:szCs w:val="20"/>
        </w:rPr>
        <w:t xml:space="preserve"> social</w:t>
      </w:r>
      <w:r w:rsidR="00C953CE">
        <w:rPr>
          <w:rFonts w:ascii="Arial" w:hAnsi="Arial" w:cs="Arial"/>
          <w:color w:val="auto"/>
          <w:sz w:val="20"/>
          <w:szCs w:val="20"/>
        </w:rPr>
        <w:t>,</w:t>
      </w:r>
      <w:r w:rsidR="00942A72">
        <w:rPr>
          <w:rFonts w:ascii="Arial" w:hAnsi="Arial" w:cs="Arial"/>
          <w:color w:val="auto"/>
          <w:sz w:val="20"/>
          <w:szCs w:val="20"/>
        </w:rPr>
        <w:t xml:space="preserve"> revealing</w:t>
      </w:r>
      <w:r w:rsidR="007F3B65" w:rsidRPr="00962BB0">
        <w:rPr>
          <w:rFonts w:ascii="Arial" w:hAnsi="Arial" w:cs="Arial"/>
          <w:color w:val="auto"/>
          <w:sz w:val="20"/>
          <w:szCs w:val="20"/>
        </w:rPr>
        <w:t xml:space="preserve"> signs that </w:t>
      </w:r>
      <w:r w:rsidR="000436F5">
        <w:rPr>
          <w:rFonts w:ascii="Arial" w:hAnsi="Arial" w:cs="Arial"/>
          <w:color w:val="auto"/>
          <w:sz w:val="20"/>
          <w:szCs w:val="20"/>
        </w:rPr>
        <w:t xml:space="preserve">these are catching up with desktop display. </w:t>
      </w:r>
      <w:r w:rsidR="000436F5" w:rsidRPr="000436F5">
        <w:rPr>
          <w:rFonts w:ascii="Arial" w:hAnsi="Arial" w:cs="Arial"/>
          <w:color w:val="auto"/>
          <w:sz w:val="20"/>
          <w:szCs w:val="20"/>
        </w:rPr>
        <w:t xml:space="preserve">The White Paper indicates a rise in the use of Programmatic Trading in mobile </w:t>
      </w:r>
      <w:r w:rsidR="00C953CE">
        <w:rPr>
          <w:rFonts w:ascii="Arial" w:hAnsi="Arial" w:cs="Arial"/>
          <w:color w:val="auto"/>
          <w:sz w:val="20"/>
          <w:szCs w:val="20"/>
        </w:rPr>
        <w:t xml:space="preserve">which </w:t>
      </w:r>
      <w:r w:rsidR="000436F5" w:rsidRPr="000436F5">
        <w:rPr>
          <w:rFonts w:ascii="Arial" w:hAnsi="Arial" w:cs="Arial"/>
          <w:color w:val="auto"/>
          <w:sz w:val="20"/>
          <w:szCs w:val="20"/>
        </w:rPr>
        <w:t xml:space="preserve">is being driven </w:t>
      </w:r>
      <w:r w:rsidR="00595FF0">
        <w:rPr>
          <w:rFonts w:ascii="Arial" w:hAnsi="Arial" w:cs="Arial"/>
          <w:color w:val="auto"/>
          <w:sz w:val="20"/>
          <w:szCs w:val="20"/>
        </w:rPr>
        <w:t>by consumer</w:t>
      </w:r>
      <w:r w:rsidR="007F6D7B">
        <w:rPr>
          <w:rFonts w:ascii="Arial" w:hAnsi="Arial" w:cs="Arial"/>
          <w:color w:val="auto"/>
          <w:sz w:val="20"/>
          <w:szCs w:val="20"/>
        </w:rPr>
        <w:t>’</w:t>
      </w:r>
      <w:r w:rsidR="00595FF0">
        <w:rPr>
          <w:rFonts w:ascii="Arial" w:hAnsi="Arial" w:cs="Arial"/>
          <w:color w:val="auto"/>
          <w:sz w:val="20"/>
          <w:szCs w:val="20"/>
        </w:rPr>
        <w:t>s shift to mobile</w:t>
      </w:r>
      <w:r w:rsidR="00510391">
        <w:rPr>
          <w:rFonts w:ascii="Arial" w:hAnsi="Arial" w:cs="Arial"/>
          <w:color w:val="auto"/>
          <w:sz w:val="20"/>
          <w:szCs w:val="20"/>
        </w:rPr>
        <w:t xml:space="preserve">, </w:t>
      </w:r>
      <w:r w:rsidR="000436F5" w:rsidRPr="000436F5">
        <w:rPr>
          <w:rFonts w:ascii="Arial" w:hAnsi="Arial" w:cs="Arial"/>
          <w:color w:val="auto"/>
          <w:sz w:val="20"/>
          <w:szCs w:val="20"/>
        </w:rPr>
        <w:t>their expectations to connect in real time</w:t>
      </w:r>
      <w:r w:rsidR="00595FF0">
        <w:rPr>
          <w:rFonts w:ascii="Arial" w:hAnsi="Arial" w:cs="Arial"/>
          <w:color w:val="auto"/>
          <w:sz w:val="20"/>
          <w:szCs w:val="20"/>
        </w:rPr>
        <w:t xml:space="preserve"> and the migration of social media</w:t>
      </w:r>
      <w:r w:rsidR="00C953CE">
        <w:rPr>
          <w:rFonts w:ascii="Arial" w:hAnsi="Arial" w:cs="Arial"/>
          <w:color w:val="auto"/>
          <w:sz w:val="20"/>
          <w:szCs w:val="20"/>
        </w:rPr>
        <w:t xml:space="preserve"> to mobile channels</w:t>
      </w:r>
      <w:r w:rsidR="000436F5" w:rsidRPr="000436F5">
        <w:rPr>
          <w:rFonts w:ascii="Arial" w:hAnsi="Arial" w:cs="Arial"/>
          <w:color w:val="auto"/>
          <w:sz w:val="20"/>
          <w:szCs w:val="20"/>
        </w:rPr>
        <w:t xml:space="preserve">. The rising availability of online video advertising via ad exchanges is driving the application of Programmatic Trading in this format.  </w:t>
      </w:r>
    </w:p>
    <w:p w:rsidR="00EC4E36" w:rsidRDefault="00EC4E36" w:rsidP="002134A6">
      <w:pPr>
        <w:widowControl w:val="0"/>
        <w:autoSpaceDE w:val="0"/>
        <w:autoSpaceDN w:val="0"/>
        <w:adjustRightInd w:val="0"/>
        <w:spacing w:after="0" w:line="360" w:lineRule="auto"/>
        <w:rPr>
          <w:rFonts w:ascii="Arial" w:hAnsi="Arial" w:cs="Arial"/>
          <w:b/>
          <w:color w:val="auto"/>
        </w:rPr>
      </w:pPr>
    </w:p>
    <w:p w:rsidR="002134A6" w:rsidRDefault="002134A6" w:rsidP="002134A6">
      <w:pPr>
        <w:widowControl w:val="0"/>
        <w:autoSpaceDE w:val="0"/>
        <w:autoSpaceDN w:val="0"/>
        <w:adjustRightInd w:val="0"/>
        <w:spacing w:after="0" w:line="360" w:lineRule="auto"/>
        <w:rPr>
          <w:rFonts w:ascii="Arial" w:hAnsi="Arial" w:cs="Arial"/>
          <w:b/>
          <w:color w:val="auto"/>
        </w:rPr>
      </w:pPr>
      <w:r>
        <w:rPr>
          <w:rFonts w:ascii="Arial" w:hAnsi="Arial" w:cs="Arial"/>
          <w:color w:val="auto"/>
          <w:sz w:val="20"/>
          <w:szCs w:val="20"/>
        </w:rPr>
        <w:t>“</w:t>
      </w:r>
      <w:r w:rsidRPr="00467B3C">
        <w:rPr>
          <w:rFonts w:ascii="Arial" w:hAnsi="Arial" w:cs="Arial"/>
          <w:i/>
          <w:color w:val="auto"/>
          <w:sz w:val="20"/>
          <w:szCs w:val="20"/>
        </w:rPr>
        <w:t>The IAB Europe Programmatic Trading White Paper addresses current challenges faced by the industry, including the control over big data, transparency and the role of Programmatic Trading in the digital advertising mix</w:t>
      </w:r>
      <w:r w:rsidR="00B6080E">
        <w:rPr>
          <w:rFonts w:ascii="Arial" w:hAnsi="Arial" w:cs="Arial"/>
          <w:color w:val="auto"/>
          <w:sz w:val="20"/>
          <w:szCs w:val="20"/>
        </w:rPr>
        <w:t>.</w:t>
      </w:r>
      <w:r>
        <w:rPr>
          <w:rFonts w:ascii="Arial" w:hAnsi="Arial" w:cs="Arial"/>
          <w:color w:val="auto"/>
          <w:sz w:val="20"/>
          <w:szCs w:val="20"/>
        </w:rPr>
        <w:t xml:space="preserve">” </w:t>
      </w:r>
      <w:r w:rsidRPr="00D861AF">
        <w:rPr>
          <w:rFonts w:ascii="Arial" w:hAnsi="Arial" w:cs="Arial"/>
          <w:color w:val="auto"/>
          <w:sz w:val="20"/>
          <w:szCs w:val="20"/>
        </w:rPr>
        <w:t xml:space="preserve">says </w:t>
      </w:r>
      <w:r w:rsidRPr="001C415E">
        <w:rPr>
          <w:rFonts w:ascii="Arial" w:hAnsi="Arial" w:cs="Arial"/>
          <w:b/>
          <w:color w:val="auto"/>
          <w:sz w:val="20"/>
          <w:szCs w:val="20"/>
        </w:rPr>
        <w:t xml:space="preserve">Graham Wylie, Senior </w:t>
      </w:r>
      <w:r w:rsidR="002D46F5">
        <w:rPr>
          <w:rFonts w:ascii="Arial" w:hAnsi="Arial" w:cs="Arial"/>
          <w:b/>
          <w:color w:val="auto"/>
          <w:sz w:val="20"/>
          <w:szCs w:val="20"/>
        </w:rPr>
        <w:t>Director, EMEA &amp; APAC Marketing at</w:t>
      </w:r>
      <w:r w:rsidRPr="001C415E">
        <w:rPr>
          <w:rFonts w:ascii="Arial" w:hAnsi="Arial" w:cs="Arial"/>
          <w:b/>
          <w:color w:val="auto"/>
          <w:sz w:val="20"/>
          <w:szCs w:val="20"/>
        </w:rPr>
        <w:t xml:space="preserve"> </w:t>
      </w:r>
      <w:proofErr w:type="spellStart"/>
      <w:r w:rsidRPr="001C415E">
        <w:rPr>
          <w:rFonts w:ascii="Arial" w:hAnsi="Arial" w:cs="Arial"/>
          <w:b/>
          <w:color w:val="auto"/>
          <w:sz w:val="20"/>
          <w:szCs w:val="20"/>
        </w:rPr>
        <w:t>AppNexus</w:t>
      </w:r>
      <w:proofErr w:type="spellEnd"/>
      <w:r>
        <w:rPr>
          <w:rFonts w:ascii="Arial" w:hAnsi="Arial" w:cs="Arial"/>
          <w:color w:val="auto"/>
          <w:sz w:val="20"/>
          <w:szCs w:val="20"/>
        </w:rPr>
        <w:t xml:space="preserve"> and </w:t>
      </w:r>
      <w:r w:rsidRPr="00805F7B">
        <w:rPr>
          <w:rFonts w:ascii="Arial" w:hAnsi="Arial" w:cs="Arial"/>
          <w:b/>
          <w:color w:val="auto"/>
          <w:sz w:val="20"/>
          <w:szCs w:val="20"/>
        </w:rPr>
        <w:t>member of the Programmatic Trading Task Force</w:t>
      </w:r>
      <w:r w:rsidRPr="00D861AF">
        <w:rPr>
          <w:rFonts w:ascii="Arial" w:hAnsi="Arial" w:cs="Arial"/>
          <w:color w:val="auto"/>
          <w:sz w:val="20"/>
          <w:szCs w:val="20"/>
        </w:rPr>
        <w:t>.</w:t>
      </w:r>
      <w:r>
        <w:rPr>
          <w:rFonts w:ascii="Arial" w:hAnsi="Arial" w:cs="Arial"/>
          <w:color w:val="auto"/>
          <w:sz w:val="20"/>
          <w:szCs w:val="20"/>
        </w:rPr>
        <w:t xml:space="preserve"> “</w:t>
      </w:r>
      <w:r w:rsidRPr="00467B3C">
        <w:rPr>
          <w:rFonts w:ascii="Arial" w:hAnsi="Arial" w:cs="Arial"/>
          <w:i/>
          <w:color w:val="auto"/>
          <w:sz w:val="20"/>
          <w:szCs w:val="20"/>
        </w:rPr>
        <w:t xml:space="preserve">There are still hurdles to overcome as </w:t>
      </w:r>
      <w:r w:rsidR="007F6D7B">
        <w:rPr>
          <w:rFonts w:ascii="Arial" w:hAnsi="Arial" w:cs="Arial"/>
          <w:i/>
          <w:color w:val="auto"/>
          <w:sz w:val="20"/>
          <w:szCs w:val="20"/>
        </w:rPr>
        <w:t>P</w:t>
      </w:r>
      <w:r w:rsidRPr="00467B3C">
        <w:rPr>
          <w:rFonts w:ascii="Arial" w:hAnsi="Arial" w:cs="Arial"/>
          <w:i/>
          <w:color w:val="auto"/>
          <w:sz w:val="20"/>
          <w:szCs w:val="20"/>
        </w:rPr>
        <w:t xml:space="preserve">rogrammatic technology matures and buyers and sellers acquire the skills to </w:t>
      </w:r>
      <w:proofErr w:type="spellStart"/>
      <w:r w:rsidRPr="00467B3C">
        <w:rPr>
          <w:rFonts w:ascii="Arial" w:hAnsi="Arial" w:cs="Arial"/>
          <w:i/>
          <w:color w:val="auto"/>
          <w:sz w:val="20"/>
          <w:szCs w:val="20"/>
        </w:rPr>
        <w:t>maximi</w:t>
      </w:r>
      <w:r w:rsidR="00EC4E36" w:rsidRPr="00467B3C">
        <w:rPr>
          <w:rFonts w:ascii="Arial" w:hAnsi="Arial" w:cs="Arial"/>
          <w:i/>
          <w:color w:val="auto"/>
          <w:sz w:val="20"/>
          <w:szCs w:val="20"/>
        </w:rPr>
        <w:t>s</w:t>
      </w:r>
      <w:r w:rsidRPr="00467B3C">
        <w:rPr>
          <w:rFonts w:ascii="Arial" w:hAnsi="Arial" w:cs="Arial"/>
          <w:i/>
          <w:color w:val="auto"/>
          <w:sz w:val="20"/>
          <w:szCs w:val="20"/>
        </w:rPr>
        <w:t>e</w:t>
      </w:r>
      <w:proofErr w:type="spellEnd"/>
      <w:r w:rsidRPr="00467B3C">
        <w:rPr>
          <w:rFonts w:ascii="Arial" w:hAnsi="Arial" w:cs="Arial"/>
          <w:i/>
          <w:color w:val="auto"/>
          <w:sz w:val="20"/>
          <w:szCs w:val="20"/>
        </w:rPr>
        <w:t xml:space="preserve"> its potential. But make no mistake; Programmatic is emerging as the driving force for a new vision of digital advertising in Europe and all indicators are that its unprecedented growth is set to continue</w:t>
      </w:r>
      <w:r w:rsidRPr="00D861AF">
        <w:rPr>
          <w:rFonts w:ascii="Arial" w:hAnsi="Arial" w:cs="Arial"/>
          <w:color w:val="auto"/>
          <w:sz w:val="20"/>
          <w:szCs w:val="20"/>
        </w:rPr>
        <w:t>.</w:t>
      </w:r>
      <w:r>
        <w:rPr>
          <w:rFonts w:ascii="Arial" w:hAnsi="Arial" w:cs="Arial"/>
          <w:color w:val="auto"/>
          <w:sz w:val="20"/>
          <w:szCs w:val="20"/>
        </w:rPr>
        <w:t>”</w:t>
      </w:r>
    </w:p>
    <w:p w:rsidR="005A17B0" w:rsidRDefault="005A17B0" w:rsidP="00E423F2">
      <w:pPr>
        <w:widowControl w:val="0"/>
        <w:autoSpaceDE w:val="0"/>
        <w:autoSpaceDN w:val="0"/>
        <w:adjustRightInd w:val="0"/>
        <w:spacing w:after="0" w:line="360" w:lineRule="auto"/>
        <w:rPr>
          <w:rFonts w:ascii="Arial" w:hAnsi="Arial" w:cs="Arial"/>
          <w:b/>
          <w:color w:val="auto"/>
        </w:rPr>
      </w:pPr>
    </w:p>
    <w:p w:rsidR="00EC4E36" w:rsidRPr="00EC4E36" w:rsidRDefault="00A87974" w:rsidP="00EC4E36">
      <w:pPr>
        <w:widowControl w:val="0"/>
        <w:autoSpaceDE w:val="0"/>
        <w:autoSpaceDN w:val="0"/>
        <w:adjustRightInd w:val="0"/>
        <w:spacing w:after="0" w:line="360" w:lineRule="auto"/>
        <w:rPr>
          <w:rFonts w:ascii="Arial" w:hAnsi="Arial" w:cs="Arial"/>
          <w:color w:val="auto"/>
          <w:sz w:val="20"/>
          <w:szCs w:val="20"/>
        </w:rPr>
      </w:pPr>
      <w:r>
        <w:rPr>
          <w:rFonts w:ascii="Arial" w:hAnsi="Arial" w:cs="Arial"/>
          <w:color w:val="auto"/>
          <w:sz w:val="20"/>
          <w:szCs w:val="20"/>
        </w:rPr>
        <w:t>“</w:t>
      </w:r>
      <w:r w:rsidR="005B76D2" w:rsidRPr="00467B3C">
        <w:rPr>
          <w:rFonts w:ascii="Arial" w:hAnsi="Arial" w:cs="Arial"/>
          <w:i/>
          <w:color w:val="auto"/>
          <w:sz w:val="20"/>
          <w:szCs w:val="20"/>
        </w:rPr>
        <w:t xml:space="preserve">IAB </w:t>
      </w:r>
      <w:r w:rsidR="00FB166B" w:rsidRPr="00467B3C">
        <w:rPr>
          <w:rFonts w:ascii="Arial" w:hAnsi="Arial" w:cs="Arial"/>
          <w:i/>
          <w:color w:val="auto"/>
          <w:sz w:val="20"/>
          <w:szCs w:val="20"/>
        </w:rPr>
        <w:t xml:space="preserve">Europe </w:t>
      </w:r>
      <w:r w:rsidR="002765B4" w:rsidRPr="00467B3C">
        <w:rPr>
          <w:rFonts w:ascii="Arial" w:hAnsi="Arial" w:cs="Arial"/>
          <w:i/>
          <w:color w:val="auto"/>
          <w:sz w:val="20"/>
          <w:szCs w:val="20"/>
        </w:rPr>
        <w:t xml:space="preserve">is committed to supporting Programmatic Trading </w:t>
      </w:r>
      <w:r w:rsidR="00570497" w:rsidRPr="00467B3C">
        <w:rPr>
          <w:rFonts w:ascii="Arial" w:hAnsi="Arial" w:cs="Arial"/>
          <w:i/>
          <w:color w:val="auto"/>
          <w:sz w:val="20"/>
          <w:szCs w:val="20"/>
        </w:rPr>
        <w:t>through</w:t>
      </w:r>
      <w:r w:rsidR="002765B4" w:rsidRPr="00467B3C">
        <w:rPr>
          <w:rFonts w:ascii="Arial" w:hAnsi="Arial" w:cs="Arial"/>
          <w:i/>
          <w:color w:val="auto"/>
          <w:sz w:val="20"/>
          <w:szCs w:val="20"/>
        </w:rPr>
        <w:t xml:space="preserve"> producing </w:t>
      </w:r>
      <w:r w:rsidR="005B76D2" w:rsidRPr="00467B3C">
        <w:rPr>
          <w:rFonts w:ascii="Arial" w:hAnsi="Arial" w:cs="Arial"/>
          <w:i/>
          <w:color w:val="auto"/>
          <w:sz w:val="20"/>
          <w:szCs w:val="20"/>
        </w:rPr>
        <w:t>research, s</w:t>
      </w:r>
      <w:r w:rsidR="002765B4" w:rsidRPr="00467B3C">
        <w:rPr>
          <w:rFonts w:ascii="Arial" w:hAnsi="Arial" w:cs="Arial"/>
          <w:i/>
          <w:color w:val="auto"/>
          <w:sz w:val="20"/>
          <w:szCs w:val="20"/>
        </w:rPr>
        <w:t>tandards and best practice guidelines which are intended to make it easier for companies to trade and are appreciated by advertisers and other stakeholders</w:t>
      </w:r>
      <w:r w:rsidR="00C953CE">
        <w:rPr>
          <w:rFonts w:ascii="Arial" w:hAnsi="Arial" w:cs="Arial"/>
          <w:color w:val="auto"/>
          <w:sz w:val="20"/>
          <w:szCs w:val="20"/>
        </w:rPr>
        <w:t>” says</w:t>
      </w:r>
      <w:r w:rsidR="00EC4E36">
        <w:rPr>
          <w:rFonts w:ascii="Arial" w:hAnsi="Arial" w:cs="Arial"/>
          <w:color w:val="auto"/>
          <w:sz w:val="20"/>
          <w:szCs w:val="20"/>
        </w:rPr>
        <w:t xml:space="preserve"> </w:t>
      </w:r>
      <w:r w:rsidR="00C953CE" w:rsidRPr="00C953CE">
        <w:rPr>
          <w:rFonts w:ascii="Arial" w:hAnsi="Arial" w:cs="Arial"/>
          <w:b/>
          <w:color w:val="auto"/>
          <w:sz w:val="20"/>
          <w:szCs w:val="20"/>
        </w:rPr>
        <w:t>Alison Fennah, Senior Business Advisor at IAB Europe</w:t>
      </w:r>
      <w:r w:rsidR="00C953CE">
        <w:rPr>
          <w:rFonts w:ascii="Arial" w:hAnsi="Arial" w:cs="Arial"/>
          <w:b/>
          <w:color w:val="auto"/>
          <w:sz w:val="20"/>
          <w:szCs w:val="20"/>
        </w:rPr>
        <w:t>.</w:t>
      </w:r>
      <w:r w:rsidR="00510391">
        <w:rPr>
          <w:rFonts w:ascii="Arial" w:hAnsi="Arial" w:cs="Arial"/>
          <w:color w:val="auto"/>
          <w:sz w:val="20"/>
          <w:szCs w:val="20"/>
        </w:rPr>
        <w:t xml:space="preserve"> </w:t>
      </w:r>
      <w:r w:rsidR="00EC4E36">
        <w:rPr>
          <w:rFonts w:ascii="Arial" w:hAnsi="Arial" w:cs="Arial"/>
          <w:sz w:val="20"/>
          <w:szCs w:val="20"/>
        </w:rPr>
        <w:t>“</w:t>
      </w:r>
      <w:r w:rsidR="00EC4E36" w:rsidRPr="00467B3C">
        <w:rPr>
          <w:rFonts w:ascii="Arial" w:hAnsi="Arial" w:cs="Arial"/>
          <w:i/>
          <w:sz w:val="20"/>
          <w:szCs w:val="20"/>
        </w:rPr>
        <w:t>With the aim of supporting brand advertising in the Programmatic discipline IAB Europe</w:t>
      </w:r>
      <w:r w:rsidR="00DF27F5" w:rsidRPr="00467B3C">
        <w:rPr>
          <w:rFonts w:ascii="Arial" w:hAnsi="Arial" w:cs="Arial"/>
          <w:i/>
          <w:sz w:val="20"/>
          <w:szCs w:val="20"/>
        </w:rPr>
        <w:t>’s Brand Advertising Committee</w:t>
      </w:r>
      <w:r w:rsidR="00EC4E36" w:rsidRPr="00467B3C">
        <w:rPr>
          <w:rFonts w:ascii="Arial" w:hAnsi="Arial" w:cs="Arial"/>
          <w:i/>
          <w:sz w:val="20"/>
          <w:szCs w:val="20"/>
        </w:rPr>
        <w:t xml:space="preserve"> has already defined a suite of six recommended brand advertising formats – ‘Brand Builders’</w:t>
      </w:r>
      <w:r w:rsidR="000D47F6" w:rsidRPr="00467B3C">
        <w:rPr>
          <w:rFonts w:ascii="Arial" w:hAnsi="Arial" w:cs="Arial"/>
          <w:i/>
          <w:sz w:val="20"/>
          <w:szCs w:val="20"/>
          <w:vertAlign w:val="superscript"/>
        </w:rPr>
        <w:t>5</w:t>
      </w:r>
      <w:r w:rsidR="00EC4E36" w:rsidRPr="00467B3C">
        <w:rPr>
          <w:rFonts w:ascii="Arial" w:hAnsi="Arial" w:cs="Arial"/>
          <w:i/>
          <w:sz w:val="20"/>
          <w:szCs w:val="20"/>
        </w:rPr>
        <w:t xml:space="preserve"> - which offers a new branding environment to advertisers.  By fuelling the increase of high value, high quality inventory for large scale brand advertisers, IAB Europe envisages an increase in Programmatic Trading of premium digital advertising</w:t>
      </w:r>
      <w:r w:rsidR="00EC4E36" w:rsidRPr="00EC4E36">
        <w:rPr>
          <w:rFonts w:ascii="Arial" w:hAnsi="Arial" w:cs="Arial"/>
          <w:sz w:val="20"/>
          <w:szCs w:val="20"/>
        </w:rPr>
        <w:t>.</w:t>
      </w:r>
      <w:r w:rsidR="00EC4E36">
        <w:rPr>
          <w:rFonts w:ascii="Arial" w:hAnsi="Arial" w:cs="Arial"/>
          <w:sz w:val="20"/>
          <w:szCs w:val="20"/>
        </w:rPr>
        <w:t>”</w:t>
      </w:r>
    </w:p>
    <w:p w:rsidR="00EC4E36" w:rsidRDefault="00EC4E36" w:rsidP="00E423F2">
      <w:pPr>
        <w:widowControl w:val="0"/>
        <w:autoSpaceDE w:val="0"/>
        <w:autoSpaceDN w:val="0"/>
        <w:adjustRightInd w:val="0"/>
        <w:spacing w:after="0" w:line="360" w:lineRule="auto"/>
        <w:jc w:val="both"/>
        <w:rPr>
          <w:rFonts w:ascii="Arial" w:hAnsi="Arial" w:cs="Arial"/>
          <w:sz w:val="20"/>
          <w:szCs w:val="20"/>
        </w:rPr>
      </w:pPr>
    </w:p>
    <w:p w:rsidR="0082778D" w:rsidRPr="00E423F2" w:rsidRDefault="00E423F2" w:rsidP="00E423F2">
      <w:pPr>
        <w:widowControl w:val="0"/>
        <w:autoSpaceDE w:val="0"/>
        <w:autoSpaceDN w:val="0"/>
        <w:adjustRightInd w:val="0"/>
        <w:spacing w:after="0" w:line="360" w:lineRule="auto"/>
        <w:jc w:val="both"/>
        <w:rPr>
          <w:rFonts w:ascii="Arial" w:hAnsi="Arial" w:cs="Arial"/>
          <w:b/>
          <w:sz w:val="20"/>
          <w:szCs w:val="20"/>
        </w:rPr>
      </w:pPr>
      <w:r>
        <w:rPr>
          <w:rFonts w:ascii="Arial" w:hAnsi="Arial" w:cs="Arial"/>
          <w:b/>
          <w:color w:val="auto"/>
          <w:sz w:val="20"/>
          <w:szCs w:val="20"/>
        </w:rPr>
        <w:t>ENDS</w:t>
      </w:r>
      <w:r>
        <w:rPr>
          <w:rFonts w:ascii="Arial" w:hAnsi="Arial" w:cs="Arial"/>
          <w:b/>
          <w:color w:val="auto"/>
          <w:sz w:val="20"/>
          <w:szCs w:val="20"/>
        </w:rPr>
        <w:br/>
      </w:r>
    </w:p>
    <w:p w:rsidR="0082778D" w:rsidRDefault="0082778D" w:rsidP="00E423F2">
      <w:pPr>
        <w:spacing w:line="360" w:lineRule="auto"/>
        <w:jc w:val="both"/>
        <w:rPr>
          <w:rFonts w:ascii="Arial" w:eastAsia="Arial" w:hAnsi="Arial" w:cs="Arial"/>
          <w:b/>
          <w:bCs/>
          <w:color w:val="auto"/>
          <w:sz w:val="20"/>
          <w:szCs w:val="20"/>
        </w:rPr>
      </w:pPr>
      <w:r w:rsidRPr="006A7E67">
        <w:rPr>
          <w:rFonts w:ascii="Arial" w:eastAsia="MS Mincho" w:hAnsi="Arial" w:cs="Arial"/>
          <w:b/>
          <w:color w:val="auto"/>
          <w:sz w:val="20"/>
          <w:szCs w:val="20"/>
          <w:lang w:val="en-GB" w:eastAsia="ja-JP" w:bidi="ar-SA"/>
        </w:rPr>
        <w:t xml:space="preserve">Media please contact: </w:t>
      </w:r>
      <w:r w:rsidR="00E423F2">
        <w:rPr>
          <w:rFonts w:ascii="Arial" w:eastAsia="MS Mincho" w:hAnsi="Arial" w:cs="Arial"/>
          <w:color w:val="auto"/>
          <w:sz w:val="20"/>
          <w:szCs w:val="20"/>
          <w:lang w:eastAsia="ja-JP" w:bidi="ar-SA"/>
        </w:rPr>
        <w:t xml:space="preserve">Marie-Clare </w:t>
      </w:r>
      <w:r w:rsidR="00466E6D">
        <w:rPr>
          <w:rFonts w:ascii="Arial" w:eastAsia="MS Mincho" w:hAnsi="Arial" w:cs="Arial"/>
          <w:color w:val="auto"/>
          <w:sz w:val="20"/>
          <w:szCs w:val="20"/>
          <w:lang w:eastAsia="ja-JP" w:bidi="ar-SA"/>
        </w:rPr>
        <w:t xml:space="preserve">Puffett – </w:t>
      </w:r>
      <w:hyperlink r:id="rId10" w:history="1">
        <w:r w:rsidR="00466E6D" w:rsidRPr="00F032DB">
          <w:rPr>
            <w:rStyle w:val="Hypertextovodkaz"/>
            <w:rFonts w:ascii="Arial" w:eastAsia="MS Mincho" w:hAnsi="Arial" w:cs="Arial"/>
            <w:sz w:val="20"/>
            <w:szCs w:val="20"/>
            <w:lang w:eastAsia="ja-JP" w:bidi="ar-SA"/>
          </w:rPr>
          <w:t>puffett@iabeurope.eu</w:t>
        </w:r>
      </w:hyperlink>
      <w:r w:rsidR="00466E6D">
        <w:rPr>
          <w:rFonts w:ascii="Arial" w:eastAsia="MS Mincho" w:hAnsi="Arial" w:cs="Arial"/>
          <w:color w:val="auto"/>
          <w:sz w:val="20"/>
          <w:szCs w:val="20"/>
          <w:lang w:eastAsia="ja-JP" w:bidi="ar-SA"/>
        </w:rPr>
        <w:t xml:space="preserve"> </w:t>
      </w:r>
      <w:r w:rsidR="00466E6D" w:rsidRPr="006A7E67">
        <w:rPr>
          <w:rFonts w:ascii="Arial" w:eastAsia="Arial" w:hAnsi="Arial" w:cs="Arial"/>
          <w:b/>
          <w:bCs/>
          <w:color w:val="auto"/>
          <w:sz w:val="20"/>
          <w:szCs w:val="20"/>
        </w:rPr>
        <w:t xml:space="preserve"> </w:t>
      </w:r>
    </w:p>
    <w:p w:rsidR="00B775EC" w:rsidRPr="00B775EC" w:rsidRDefault="00B775EC" w:rsidP="00B775EC">
      <w:pPr>
        <w:spacing w:after="0" w:line="360" w:lineRule="auto"/>
        <w:jc w:val="both"/>
        <w:rPr>
          <w:rFonts w:ascii="Arial" w:eastAsia="Arial" w:hAnsi="Arial" w:cs="Arial"/>
          <w:b/>
          <w:bCs/>
          <w:color w:val="auto"/>
          <w:sz w:val="20"/>
          <w:szCs w:val="20"/>
        </w:rPr>
      </w:pPr>
      <w:r w:rsidRPr="00B775EC">
        <w:rPr>
          <w:rFonts w:ascii="Arial" w:eastAsia="Arial" w:hAnsi="Arial" w:cs="Arial"/>
          <w:b/>
          <w:bCs/>
          <w:color w:val="auto"/>
          <w:sz w:val="20"/>
          <w:szCs w:val="20"/>
          <w:lang w:val="fr-BE"/>
        </w:rPr>
        <w:t>About IAB Europe</w:t>
      </w:r>
    </w:p>
    <w:p w:rsidR="00B775EC" w:rsidRPr="00B775EC" w:rsidRDefault="00B775EC" w:rsidP="00B775EC">
      <w:pPr>
        <w:spacing w:after="0" w:line="360" w:lineRule="auto"/>
        <w:rPr>
          <w:rFonts w:ascii="Arial" w:eastAsia="Arial" w:hAnsi="Arial" w:cs="Arial"/>
          <w:bCs/>
          <w:color w:val="auto"/>
          <w:sz w:val="20"/>
          <w:szCs w:val="20"/>
        </w:rPr>
      </w:pPr>
      <w:r w:rsidRPr="00B775EC">
        <w:rPr>
          <w:rFonts w:ascii="Arial" w:eastAsia="Arial" w:hAnsi="Arial" w:cs="Arial"/>
          <w:bCs/>
          <w:color w:val="auto"/>
          <w:sz w:val="20"/>
          <w:szCs w:val="20"/>
        </w:rPr>
        <w:t xml:space="preserve">IAB Europe is the voice of digital business and the leading European-level industry association for the interactive advertising ecosystem. Its mission is to promote the development of this young and innovative sector by shaping the regulatory environment, investing in research and education, and developing and facilitating the uptake of business standards. Together with its members – companies and national trade associations – IAB Europe represents over 5,500 </w:t>
      </w:r>
      <w:proofErr w:type="spellStart"/>
      <w:r w:rsidRPr="00B775EC">
        <w:rPr>
          <w:rFonts w:ascii="Arial" w:eastAsia="Arial" w:hAnsi="Arial" w:cs="Arial"/>
          <w:bCs/>
          <w:color w:val="auto"/>
          <w:sz w:val="20"/>
          <w:szCs w:val="20"/>
        </w:rPr>
        <w:t>organisations</w:t>
      </w:r>
      <w:proofErr w:type="spellEnd"/>
      <w:r>
        <w:rPr>
          <w:rFonts w:ascii="Arial" w:eastAsia="Arial" w:hAnsi="Arial" w:cs="Arial"/>
          <w:bCs/>
          <w:color w:val="auto"/>
          <w:sz w:val="20"/>
          <w:szCs w:val="20"/>
        </w:rPr>
        <w:t xml:space="preserve">. </w:t>
      </w:r>
    </w:p>
    <w:p w:rsidR="007C7741" w:rsidRPr="00A1344F" w:rsidRDefault="0082778D" w:rsidP="00B775EC">
      <w:pPr>
        <w:pStyle w:val="Odstavecseseznamem"/>
        <w:numPr>
          <w:ilvl w:val="0"/>
          <w:numId w:val="8"/>
        </w:numPr>
        <w:tabs>
          <w:tab w:val="clear" w:pos="720"/>
          <w:tab w:val="num" w:pos="426"/>
        </w:tabs>
        <w:autoSpaceDE w:val="0"/>
        <w:autoSpaceDN w:val="0"/>
        <w:adjustRightInd w:val="0"/>
        <w:spacing w:line="360" w:lineRule="auto"/>
        <w:ind w:left="284"/>
        <w:jc w:val="both"/>
        <w:rPr>
          <w:rFonts w:ascii="Arial" w:eastAsiaTheme="minorEastAsia" w:hAnsi="Arial" w:cs="Arial"/>
          <w:noProof/>
          <w:sz w:val="20"/>
          <w:szCs w:val="20"/>
          <w:lang w:eastAsia="fr-FR"/>
        </w:rPr>
      </w:pPr>
      <w:r w:rsidRPr="007C7741">
        <w:rPr>
          <w:rFonts w:ascii="Arial" w:eastAsiaTheme="minorEastAsia" w:hAnsi="Arial" w:cs="Arial"/>
          <w:noProof/>
          <w:sz w:val="20"/>
          <w:szCs w:val="20"/>
          <w:lang w:eastAsia="fr-FR"/>
        </w:rPr>
        <w:t>@IABEurope</w:t>
      </w:r>
      <w:r w:rsidR="00B775EC">
        <w:rPr>
          <w:rFonts w:ascii="Arial" w:eastAsiaTheme="minorEastAsia" w:hAnsi="Arial" w:cs="Arial"/>
          <w:noProof/>
          <w:sz w:val="20"/>
          <w:szCs w:val="20"/>
          <w:lang w:eastAsia="fr-FR"/>
        </w:rPr>
        <w:t xml:space="preserve">  </w:t>
      </w:r>
      <w:r w:rsidRPr="007C7741">
        <w:rPr>
          <w:rFonts w:ascii="Arial" w:eastAsiaTheme="minorEastAsia" w:hAnsi="Arial" w:cs="Arial"/>
          <w:noProof/>
          <w:sz w:val="20"/>
          <w:szCs w:val="20"/>
          <w:lang w:eastAsia="fr-FR"/>
        </w:rPr>
        <w:t xml:space="preserve"> </w:t>
      </w:r>
      <w:r w:rsidR="007C7741">
        <w:rPr>
          <w:noProof/>
          <w:lang w:val="cs-CZ" w:eastAsia="cs-CZ"/>
        </w:rPr>
        <w:drawing>
          <wp:inline distT="0" distB="0" distL="0" distR="0" wp14:anchorId="652298BC" wp14:editId="7B4A5C54">
            <wp:extent cx="173023"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kedin.png"/>
                    <pic:cNvPicPr/>
                  </pic:nvPicPr>
                  <pic:blipFill>
                    <a:blip r:embed="rId11">
                      <a:extLst>
                        <a:ext uri="{28A0092B-C50C-407E-A947-70E740481C1C}">
                          <a14:useLocalDpi xmlns:a14="http://schemas.microsoft.com/office/drawing/2010/main" val="0"/>
                        </a:ext>
                      </a:extLst>
                    </a:blip>
                    <a:stretch>
                      <a:fillRect/>
                    </a:stretch>
                  </pic:blipFill>
                  <pic:spPr>
                    <a:xfrm>
                      <a:off x="0" y="0"/>
                      <a:ext cx="188031" cy="165619"/>
                    </a:xfrm>
                    <a:prstGeom prst="rect">
                      <a:avLst/>
                    </a:prstGeom>
                  </pic:spPr>
                </pic:pic>
              </a:graphicData>
            </a:graphic>
          </wp:inline>
        </w:drawing>
      </w:r>
      <w:r w:rsidR="007F6496">
        <w:rPr>
          <w:rFonts w:ascii="Arial" w:eastAsiaTheme="minorEastAsia" w:hAnsi="Arial" w:cs="Arial"/>
          <w:noProof/>
          <w:sz w:val="20"/>
          <w:szCs w:val="20"/>
          <w:lang w:eastAsia="fr-FR"/>
        </w:rPr>
        <w:t xml:space="preserve"> </w:t>
      </w:r>
      <w:r w:rsidR="007C7741" w:rsidRPr="00A1344F">
        <w:rPr>
          <w:rFonts w:ascii="Arial" w:eastAsiaTheme="minorEastAsia" w:hAnsi="Arial" w:cs="Arial"/>
          <w:noProof/>
          <w:sz w:val="20"/>
          <w:szCs w:val="20"/>
          <w:lang w:eastAsia="fr-FR"/>
        </w:rPr>
        <w:t>IAB Europe</w:t>
      </w:r>
      <w:r w:rsidR="00B775EC">
        <w:rPr>
          <w:rFonts w:ascii="Arial" w:eastAsiaTheme="minorEastAsia" w:hAnsi="Arial" w:cs="Arial"/>
          <w:noProof/>
          <w:sz w:val="20"/>
          <w:szCs w:val="20"/>
          <w:lang w:eastAsia="fr-FR"/>
        </w:rPr>
        <w:t xml:space="preserve"> </w:t>
      </w:r>
      <w:r w:rsidR="007C7741" w:rsidRPr="00A1344F">
        <w:rPr>
          <w:rFonts w:ascii="Arial" w:eastAsiaTheme="minorEastAsia" w:hAnsi="Arial" w:cs="Arial"/>
          <w:noProof/>
          <w:sz w:val="20"/>
          <w:szCs w:val="20"/>
          <w:lang w:eastAsia="fr-FR"/>
        </w:rPr>
        <w:t xml:space="preserve"> </w:t>
      </w:r>
      <w:hyperlink r:id="rId12" w:history="1">
        <w:r w:rsidR="00A1344F" w:rsidRPr="00A1344F">
          <w:rPr>
            <w:rStyle w:val="Hypertextovodkaz"/>
            <w:rFonts w:ascii="Arial" w:eastAsiaTheme="minorEastAsia" w:hAnsi="Arial" w:cs="Arial"/>
            <w:noProof/>
            <w:sz w:val="20"/>
            <w:szCs w:val="20"/>
            <w:lang w:eastAsia="fr-FR"/>
          </w:rPr>
          <w:t>www.iabeurope.eu</w:t>
        </w:r>
      </w:hyperlink>
      <w:r w:rsidR="00A1344F" w:rsidRPr="00A1344F">
        <w:rPr>
          <w:rFonts w:ascii="Arial" w:eastAsiaTheme="minorEastAsia" w:hAnsi="Arial" w:cs="Arial"/>
          <w:noProof/>
          <w:sz w:val="20"/>
          <w:szCs w:val="20"/>
          <w:lang w:eastAsia="fr-FR"/>
        </w:rPr>
        <w:t xml:space="preserve"> </w:t>
      </w:r>
    </w:p>
    <w:p w:rsidR="002134A6" w:rsidRDefault="002134A6" w:rsidP="002134A6">
      <w:pPr>
        <w:widowControl w:val="0"/>
        <w:autoSpaceDE w:val="0"/>
        <w:autoSpaceDN w:val="0"/>
        <w:adjustRightInd w:val="0"/>
        <w:spacing w:after="0" w:line="360" w:lineRule="auto"/>
        <w:jc w:val="both"/>
        <w:rPr>
          <w:rFonts w:ascii="Arial" w:hAnsi="Arial" w:cs="Arial"/>
          <w:b/>
          <w:color w:val="auto"/>
          <w:sz w:val="20"/>
          <w:lang w:val="fr-BE"/>
        </w:rPr>
      </w:pPr>
    </w:p>
    <w:p w:rsidR="00EC4E36" w:rsidRDefault="00433964" w:rsidP="00E423F2">
      <w:pPr>
        <w:widowControl w:val="0"/>
        <w:autoSpaceDE w:val="0"/>
        <w:autoSpaceDN w:val="0"/>
        <w:adjustRightInd w:val="0"/>
        <w:spacing w:after="240" w:line="360" w:lineRule="auto"/>
        <w:rPr>
          <w:rFonts w:ascii="Arial" w:hAnsi="Arial" w:cs="Arial"/>
          <w:color w:val="auto"/>
          <w:sz w:val="20"/>
          <w:szCs w:val="20"/>
        </w:rPr>
      </w:pPr>
      <w:r w:rsidRPr="007F3B65">
        <w:rPr>
          <w:rFonts w:ascii="Arial" w:hAnsi="Arial" w:cs="Arial"/>
          <w:color w:val="auto"/>
          <w:sz w:val="20"/>
          <w:szCs w:val="20"/>
          <w:vertAlign w:val="superscript"/>
        </w:rPr>
        <w:lastRenderedPageBreak/>
        <w:t>1</w:t>
      </w:r>
      <w:r w:rsidRPr="007F3B65">
        <w:rPr>
          <w:rFonts w:ascii="Arial" w:hAnsi="Arial" w:cs="Arial"/>
          <w:color w:val="auto"/>
          <w:sz w:val="20"/>
          <w:szCs w:val="20"/>
        </w:rPr>
        <w:t xml:space="preserve"> The annual </w:t>
      </w:r>
      <w:proofErr w:type="spellStart"/>
      <w:r w:rsidRPr="00DA13C0">
        <w:rPr>
          <w:rFonts w:ascii="Arial" w:hAnsi="Arial" w:cs="Arial"/>
          <w:b/>
          <w:color w:val="auto"/>
          <w:sz w:val="20"/>
          <w:szCs w:val="20"/>
        </w:rPr>
        <w:t>AdEx</w:t>
      </w:r>
      <w:proofErr w:type="spellEnd"/>
      <w:r w:rsidRPr="00DA13C0">
        <w:rPr>
          <w:rFonts w:ascii="Arial" w:hAnsi="Arial" w:cs="Arial"/>
          <w:b/>
          <w:color w:val="auto"/>
          <w:sz w:val="20"/>
          <w:szCs w:val="20"/>
        </w:rPr>
        <w:t xml:space="preserve"> Benchmark</w:t>
      </w:r>
      <w:r w:rsidRPr="007F3B65">
        <w:rPr>
          <w:rFonts w:ascii="Arial" w:hAnsi="Arial" w:cs="Arial"/>
          <w:color w:val="auto"/>
          <w:sz w:val="20"/>
          <w:szCs w:val="20"/>
        </w:rPr>
        <w:t xml:space="preserve"> Research is one of the most significant outputs from IAB Europe. The report is </w:t>
      </w:r>
      <w:proofErr w:type="gramStart"/>
      <w:r w:rsidRPr="007F3B65">
        <w:rPr>
          <w:rFonts w:ascii="Arial" w:hAnsi="Arial" w:cs="Arial"/>
          <w:color w:val="auto"/>
          <w:sz w:val="20"/>
          <w:szCs w:val="20"/>
        </w:rPr>
        <w:t>a comprehensive perspective of online advertising spend</w:t>
      </w:r>
      <w:proofErr w:type="gramEnd"/>
      <w:r w:rsidRPr="007F3B65">
        <w:rPr>
          <w:rFonts w:ascii="Arial" w:hAnsi="Arial" w:cs="Arial"/>
          <w:color w:val="auto"/>
          <w:sz w:val="20"/>
          <w:szCs w:val="20"/>
        </w:rPr>
        <w:t xml:space="preserve"> across Europe which is growing ever important in light of the development of digital business, policy formulation, the increasingly pan-regional nature of digital advertising investments and the </w:t>
      </w:r>
      <w:proofErr w:type="spellStart"/>
      <w:r w:rsidRPr="007F3B65">
        <w:rPr>
          <w:rFonts w:ascii="Arial" w:hAnsi="Arial" w:cs="Arial"/>
          <w:color w:val="auto"/>
          <w:sz w:val="20"/>
          <w:szCs w:val="20"/>
        </w:rPr>
        <w:t>contextualisation</w:t>
      </w:r>
      <w:proofErr w:type="spellEnd"/>
      <w:r w:rsidRPr="007F3B65">
        <w:rPr>
          <w:rFonts w:ascii="Arial" w:hAnsi="Arial" w:cs="Arial"/>
          <w:color w:val="auto"/>
          <w:sz w:val="20"/>
          <w:szCs w:val="20"/>
        </w:rPr>
        <w:t xml:space="preserve"> of European markets within a wider global framework. The data has been compiled by IAB Europe based on information provided by the national IAB offices around Europe, with processing and analysis undertaken by IHS Technology. This report is the first port of call for anyone wanting to find out about the latest online advertising trends, such as real-time or programmatic, across Europe</w:t>
      </w:r>
      <w:r w:rsidR="00106B1B">
        <w:rPr>
          <w:rFonts w:ascii="Arial" w:hAnsi="Arial" w:cs="Arial"/>
          <w:color w:val="auto"/>
          <w:sz w:val="20"/>
          <w:szCs w:val="20"/>
        </w:rPr>
        <w:t xml:space="preserve"> - </w:t>
      </w:r>
      <w:hyperlink r:id="rId13" w:history="1">
        <w:r w:rsidR="00B775EC" w:rsidRPr="00101762">
          <w:rPr>
            <w:rStyle w:val="Hypertextovodkaz"/>
            <w:rFonts w:ascii="Arial" w:hAnsi="Arial" w:cs="Arial"/>
            <w:sz w:val="20"/>
            <w:szCs w:val="20"/>
          </w:rPr>
          <w:t>http://bit.ly/TX6JLO</w:t>
        </w:r>
      </w:hyperlink>
      <w:r w:rsidR="00B775EC">
        <w:rPr>
          <w:rFonts w:ascii="Arial" w:hAnsi="Arial" w:cs="Arial"/>
          <w:color w:val="auto"/>
          <w:sz w:val="20"/>
          <w:szCs w:val="20"/>
        </w:rPr>
        <w:t xml:space="preserve"> </w:t>
      </w:r>
    </w:p>
    <w:p w:rsidR="00106B1B" w:rsidRDefault="00433964" w:rsidP="00E423F2">
      <w:pPr>
        <w:widowControl w:val="0"/>
        <w:autoSpaceDE w:val="0"/>
        <w:autoSpaceDN w:val="0"/>
        <w:adjustRightInd w:val="0"/>
        <w:spacing w:after="240" w:line="360" w:lineRule="auto"/>
        <w:rPr>
          <w:rFonts w:ascii="Arial" w:hAnsi="Arial" w:cs="Arial"/>
          <w:color w:val="auto"/>
          <w:sz w:val="20"/>
          <w:szCs w:val="20"/>
        </w:rPr>
      </w:pPr>
      <w:r w:rsidRPr="007F3B65">
        <w:rPr>
          <w:rFonts w:ascii="Arial" w:hAnsi="Arial" w:cs="Arial"/>
          <w:color w:val="auto"/>
          <w:sz w:val="20"/>
          <w:szCs w:val="20"/>
          <w:vertAlign w:val="superscript"/>
        </w:rPr>
        <w:t>2</w:t>
      </w:r>
      <w:r w:rsidRPr="007F3B65">
        <w:rPr>
          <w:rFonts w:ascii="Arial" w:hAnsi="Arial" w:cs="Arial"/>
          <w:color w:val="auto"/>
          <w:sz w:val="20"/>
          <w:szCs w:val="20"/>
        </w:rPr>
        <w:t xml:space="preserve"> </w:t>
      </w:r>
      <w:r w:rsidR="00A93779" w:rsidRPr="00DA13C0">
        <w:rPr>
          <w:rFonts w:ascii="Arial" w:hAnsi="Arial" w:cs="Arial"/>
          <w:b/>
          <w:color w:val="auto"/>
          <w:sz w:val="20"/>
          <w:szCs w:val="20"/>
        </w:rPr>
        <w:t>Why and how programmatic is emerging as key to real-time marketing success</w:t>
      </w:r>
      <w:r w:rsidR="00DA13C0">
        <w:rPr>
          <w:rFonts w:ascii="Arial" w:hAnsi="Arial" w:cs="Arial"/>
          <w:color w:val="auto"/>
          <w:sz w:val="20"/>
          <w:szCs w:val="20"/>
        </w:rPr>
        <w:t xml:space="preserve"> (June 2014) - </w:t>
      </w:r>
      <w:r w:rsidR="00DA13C0" w:rsidRPr="00DA13C0">
        <w:rPr>
          <w:rFonts w:ascii="Arial" w:hAnsi="Arial" w:cs="Arial"/>
          <w:color w:val="auto"/>
          <w:sz w:val="20"/>
          <w:szCs w:val="20"/>
        </w:rPr>
        <w:t xml:space="preserve">a recent report conducted by IAB Europe, WARC and </w:t>
      </w:r>
      <w:proofErr w:type="spellStart"/>
      <w:r w:rsidR="00DA13C0" w:rsidRPr="00DA13C0">
        <w:rPr>
          <w:rFonts w:ascii="Arial" w:hAnsi="Arial" w:cs="Arial"/>
          <w:color w:val="auto"/>
          <w:sz w:val="20"/>
          <w:szCs w:val="20"/>
        </w:rPr>
        <w:t>AppNexus</w:t>
      </w:r>
      <w:proofErr w:type="spellEnd"/>
      <w:r w:rsidR="00DA13C0" w:rsidRPr="00DA13C0">
        <w:rPr>
          <w:rFonts w:ascii="Arial" w:hAnsi="Arial" w:cs="Arial"/>
          <w:color w:val="auto"/>
          <w:sz w:val="20"/>
          <w:szCs w:val="20"/>
        </w:rPr>
        <w:t xml:space="preserve"> across more than 600 publishers, advertisers and agencies at the frontline of the advertising industry in Europe</w:t>
      </w:r>
      <w:r w:rsidR="00DA13C0">
        <w:rPr>
          <w:rFonts w:ascii="Arial" w:hAnsi="Arial" w:cs="Arial"/>
          <w:color w:val="auto"/>
          <w:sz w:val="20"/>
          <w:szCs w:val="20"/>
        </w:rPr>
        <w:t xml:space="preserve"> </w:t>
      </w:r>
      <w:r w:rsidR="00A93779" w:rsidRPr="007F3B65">
        <w:rPr>
          <w:rFonts w:ascii="Arial" w:hAnsi="Arial" w:cs="Arial"/>
          <w:color w:val="auto"/>
          <w:sz w:val="20"/>
          <w:szCs w:val="20"/>
        </w:rPr>
        <w:t xml:space="preserve">- </w:t>
      </w:r>
      <w:hyperlink r:id="rId14" w:history="1">
        <w:r w:rsidR="00B775EC" w:rsidRPr="00101762">
          <w:rPr>
            <w:rStyle w:val="Hypertextovodkaz"/>
            <w:rFonts w:ascii="Arial" w:hAnsi="Arial" w:cs="Arial"/>
            <w:sz w:val="20"/>
            <w:szCs w:val="20"/>
          </w:rPr>
          <w:t>http://bit.ly/1jUVLfy</w:t>
        </w:r>
      </w:hyperlink>
      <w:r w:rsidR="00B775EC">
        <w:rPr>
          <w:rFonts w:ascii="Arial" w:hAnsi="Arial" w:cs="Arial"/>
          <w:color w:val="auto"/>
          <w:sz w:val="20"/>
          <w:szCs w:val="20"/>
        </w:rPr>
        <w:t xml:space="preserve"> </w:t>
      </w:r>
    </w:p>
    <w:p w:rsidR="000D47F6" w:rsidRPr="000D47F6" w:rsidRDefault="000D47F6" w:rsidP="000D47F6">
      <w:pPr>
        <w:widowControl w:val="0"/>
        <w:autoSpaceDE w:val="0"/>
        <w:autoSpaceDN w:val="0"/>
        <w:adjustRightInd w:val="0"/>
        <w:spacing w:after="0" w:line="360" w:lineRule="auto"/>
        <w:rPr>
          <w:rFonts w:ascii="Arial" w:hAnsi="Arial" w:cs="Arial"/>
          <w:b/>
          <w:color w:val="auto"/>
          <w:sz w:val="20"/>
          <w:szCs w:val="20"/>
        </w:rPr>
      </w:pPr>
      <w:r w:rsidRPr="000D47F6">
        <w:rPr>
          <w:rFonts w:ascii="Arial" w:hAnsi="Arial" w:cs="Arial"/>
          <w:color w:val="auto"/>
          <w:sz w:val="20"/>
          <w:szCs w:val="20"/>
          <w:vertAlign w:val="superscript"/>
        </w:rPr>
        <w:t>3</w:t>
      </w:r>
      <w:r>
        <w:rPr>
          <w:rFonts w:ascii="Arial" w:hAnsi="Arial" w:cs="Arial"/>
          <w:color w:val="auto"/>
          <w:sz w:val="20"/>
          <w:szCs w:val="20"/>
        </w:rPr>
        <w:t xml:space="preserve"> </w:t>
      </w:r>
      <w:r w:rsidRPr="000D47F6">
        <w:rPr>
          <w:rFonts w:ascii="Arial" w:hAnsi="Arial" w:cs="Arial"/>
          <w:b/>
          <w:color w:val="auto"/>
          <w:sz w:val="20"/>
          <w:szCs w:val="20"/>
        </w:rPr>
        <w:t>About the IAB Europe Programmatic Trading Task Force</w:t>
      </w:r>
    </w:p>
    <w:p w:rsidR="000D47F6" w:rsidRDefault="000D47F6" w:rsidP="000D47F6">
      <w:pPr>
        <w:widowControl w:val="0"/>
        <w:autoSpaceDE w:val="0"/>
        <w:autoSpaceDN w:val="0"/>
        <w:adjustRightInd w:val="0"/>
        <w:spacing w:after="240" w:line="360" w:lineRule="auto"/>
        <w:rPr>
          <w:rFonts w:ascii="Arial" w:hAnsi="Arial" w:cs="Arial"/>
          <w:color w:val="auto"/>
          <w:sz w:val="20"/>
          <w:szCs w:val="20"/>
        </w:rPr>
      </w:pPr>
      <w:r>
        <w:rPr>
          <w:rFonts w:ascii="Arial" w:hAnsi="Arial" w:cs="Arial"/>
          <w:color w:val="auto"/>
          <w:sz w:val="20"/>
          <w:szCs w:val="20"/>
        </w:rPr>
        <w:t xml:space="preserve">The IAB Europe Programmatic Trading Task Force has been developed with the key objectives of developing </w:t>
      </w:r>
      <w:r w:rsidRPr="000D47F6">
        <w:rPr>
          <w:rFonts w:ascii="Arial" w:hAnsi="Arial" w:cs="Arial"/>
          <w:color w:val="auto"/>
          <w:sz w:val="20"/>
          <w:szCs w:val="20"/>
        </w:rPr>
        <w:t>strategies for promoting a</w:t>
      </w:r>
      <w:r>
        <w:rPr>
          <w:rFonts w:ascii="Arial" w:hAnsi="Arial" w:cs="Arial"/>
          <w:color w:val="auto"/>
          <w:sz w:val="20"/>
          <w:szCs w:val="20"/>
        </w:rPr>
        <w:t>nd growing Programmatic Trading including sizing the market in liaison with the</w:t>
      </w:r>
      <w:r w:rsidRPr="000D47F6">
        <w:rPr>
          <w:rFonts w:ascii="Arial" w:hAnsi="Arial" w:cs="Arial"/>
          <w:color w:val="auto"/>
          <w:sz w:val="20"/>
          <w:szCs w:val="20"/>
        </w:rPr>
        <w:t xml:space="preserve"> </w:t>
      </w:r>
      <w:proofErr w:type="spellStart"/>
      <w:r w:rsidRPr="000D47F6">
        <w:rPr>
          <w:rFonts w:ascii="Arial" w:hAnsi="Arial" w:cs="Arial"/>
          <w:color w:val="auto"/>
          <w:sz w:val="20"/>
          <w:szCs w:val="20"/>
        </w:rPr>
        <w:t>AdEx</w:t>
      </w:r>
      <w:proofErr w:type="spellEnd"/>
      <w:r w:rsidRPr="000D47F6">
        <w:rPr>
          <w:rFonts w:ascii="Arial" w:hAnsi="Arial" w:cs="Arial"/>
          <w:color w:val="auto"/>
          <w:sz w:val="20"/>
          <w:szCs w:val="20"/>
        </w:rPr>
        <w:t xml:space="preserve"> Benchmark Tas</w:t>
      </w:r>
      <w:r>
        <w:rPr>
          <w:rFonts w:ascii="Arial" w:hAnsi="Arial" w:cs="Arial"/>
          <w:color w:val="auto"/>
          <w:sz w:val="20"/>
          <w:szCs w:val="20"/>
        </w:rPr>
        <w:t>k Force and IHS Technology in Q3</w:t>
      </w:r>
      <w:r w:rsidRPr="000D47F6">
        <w:rPr>
          <w:rFonts w:ascii="Arial" w:hAnsi="Arial" w:cs="Arial"/>
          <w:color w:val="auto"/>
          <w:sz w:val="20"/>
          <w:szCs w:val="20"/>
        </w:rPr>
        <w:t xml:space="preserve"> 2014</w:t>
      </w:r>
      <w:r>
        <w:rPr>
          <w:rFonts w:ascii="Arial" w:hAnsi="Arial" w:cs="Arial"/>
          <w:color w:val="auto"/>
          <w:sz w:val="20"/>
          <w:szCs w:val="20"/>
        </w:rPr>
        <w:t xml:space="preserve"> </w:t>
      </w:r>
    </w:p>
    <w:p w:rsidR="00A93779" w:rsidRDefault="000D47F6" w:rsidP="004B5F80">
      <w:pPr>
        <w:widowControl w:val="0"/>
        <w:autoSpaceDE w:val="0"/>
        <w:autoSpaceDN w:val="0"/>
        <w:adjustRightInd w:val="0"/>
        <w:spacing w:after="240" w:line="360" w:lineRule="auto"/>
        <w:rPr>
          <w:rFonts w:ascii="Arial" w:hAnsi="Arial" w:cs="Arial"/>
          <w:color w:val="auto"/>
          <w:sz w:val="20"/>
          <w:szCs w:val="20"/>
        </w:rPr>
      </w:pPr>
      <w:r>
        <w:rPr>
          <w:rFonts w:ascii="Arial" w:hAnsi="Arial" w:cs="Arial"/>
          <w:color w:val="auto"/>
          <w:sz w:val="20"/>
          <w:szCs w:val="20"/>
          <w:vertAlign w:val="superscript"/>
        </w:rPr>
        <w:t>4</w:t>
      </w:r>
      <w:r w:rsidR="00A93779">
        <w:rPr>
          <w:rFonts w:ascii="Arial" w:hAnsi="Arial" w:cs="Arial"/>
          <w:color w:val="auto"/>
          <w:sz w:val="20"/>
          <w:szCs w:val="20"/>
        </w:rPr>
        <w:t xml:space="preserve"> The </w:t>
      </w:r>
      <w:r w:rsidR="00A93779" w:rsidRPr="004B5F80">
        <w:rPr>
          <w:rFonts w:ascii="Arial" w:hAnsi="Arial" w:cs="Arial"/>
          <w:b/>
          <w:color w:val="auto"/>
          <w:sz w:val="20"/>
          <w:szCs w:val="20"/>
        </w:rPr>
        <w:t>IAB Europe Programmatic Trading White Paper</w:t>
      </w:r>
      <w:r w:rsidR="00A93779">
        <w:rPr>
          <w:rFonts w:ascii="Arial" w:hAnsi="Arial" w:cs="Arial"/>
          <w:color w:val="auto"/>
          <w:sz w:val="20"/>
          <w:szCs w:val="20"/>
        </w:rPr>
        <w:t xml:space="preserve"> </w:t>
      </w:r>
      <w:r w:rsidR="004B5F80" w:rsidRPr="004B5F80">
        <w:rPr>
          <w:rFonts w:ascii="Arial" w:hAnsi="Arial" w:cs="Arial"/>
          <w:color w:val="auto"/>
          <w:sz w:val="20"/>
          <w:szCs w:val="20"/>
        </w:rPr>
        <w:t>provide</w:t>
      </w:r>
      <w:r w:rsidR="004B5F80">
        <w:rPr>
          <w:rFonts w:ascii="Arial" w:hAnsi="Arial" w:cs="Arial"/>
          <w:color w:val="auto"/>
          <w:sz w:val="20"/>
          <w:szCs w:val="20"/>
        </w:rPr>
        <w:t>s</w:t>
      </w:r>
      <w:r w:rsidR="004B5F80" w:rsidRPr="004B5F80">
        <w:rPr>
          <w:rFonts w:ascii="Arial" w:hAnsi="Arial" w:cs="Arial"/>
          <w:color w:val="auto"/>
          <w:sz w:val="20"/>
          <w:szCs w:val="20"/>
        </w:rPr>
        <w:t xml:space="preserve"> company-neutral, simple explanations about what Programmatic Trading is and will illustrate the opportunity that it provides across the diverse European markets. It also address</w:t>
      </w:r>
      <w:r w:rsidR="006B5838">
        <w:rPr>
          <w:rFonts w:ascii="Arial" w:hAnsi="Arial" w:cs="Arial"/>
          <w:color w:val="auto"/>
          <w:sz w:val="20"/>
          <w:szCs w:val="20"/>
        </w:rPr>
        <w:t>es</w:t>
      </w:r>
      <w:r w:rsidR="004B5F80" w:rsidRPr="004B5F80">
        <w:rPr>
          <w:rFonts w:ascii="Arial" w:hAnsi="Arial" w:cs="Arial"/>
          <w:color w:val="auto"/>
          <w:sz w:val="20"/>
          <w:szCs w:val="20"/>
        </w:rPr>
        <w:t xml:space="preserve"> current challenges faced by the industry, including the control over big data, transparency and the role of Programmatic Trading in the digital mix. The paper will provide country-specific examples to illustrate new trends.</w:t>
      </w:r>
      <w:r w:rsidR="004B5F80">
        <w:rPr>
          <w:rFonts w:ascii="Arial" w:hAnsi="Arial" w:cs="Arial"/>
          <w:color w:val="auto"/>
          <w:sz w:val="20"/>
          <w:szCs w:val="20"/>
        </w:rPr>
        <w:t xml:space="preserve"> The paper </w:t>
      </w:r>
      <w:r w:rsidR="004B5F80" w:rsidRPr="004B5F80">
        <w:rPr>
          <w:rFonts w:ascii="Arial" w:hAnsi="Arial" w:cs="Arial"/>
          <w:color w:val="auto"/>
          <w:sz w:val="20"/>
          <w:szCs w:val="20"/>
        </w:rPr>
        <w:t>prove</w:t>
      </w:r>
      <w:r w:rsidR="004B5F80">
        <w:rPr>
          <w:rFonts w:ascii="Arial" w:hAnsi="Arial" w:cs="Arial"/>
          <w:color w:val="auto"/>
          <w:sz w:val="20"/>
          <w:szCs w:val="20"/>
        </w:rPr>
        <w:t>s</w:t>
      </w:r>
      <w:r w:rsidR="004B5F80" w:rsidRPr="004B5F80">
        <w:rPr>
          <w:rFonts w:ascii="Arial" w:hAnsi="Arial" w:cs="Arial"/>
          <w:color w:val="auto"/>
          <w:sz w:val="20"/>
          <w:szCs w:val="20"/>
        </w:rPr>
        <w:t xml:space="preserve"> the value of data-driven display advertising to the market and seeks increase </w:t>
      </w:r>
      <w:r w:rsidR="004B5F80">
        <w:rPr>
          <w:rFonts w:ascii="Arial" w:hAnsi="Arial" w:cs="Arial"/>
          <w:color w:val="auto"/>
          <w:sz w:val="20"/>
          <w:szCs w:val="20"/>
        </w:rPr>
        <w:t xml:space="preserve">trust and confidence in its use, it </w:t>
      </w:r>
      <w:r w:rsidR="00A93779">
        <w:rPr>
          <w:rFonts w:ascii="Arial" w:hAnsi="Arial" w:cs="Arial"/>
          <w:color w:val="auto"/>
          <w:sz w:val="20"/>
          <w:szCs w:val="20"/>
        </w:rPr>
        <w:t xml:space="preserve">can be downloaded here – </w:t>
      </w:r>
      <w:hyperlink r:id="rId15" w:history="1">
        <w:r w:rsidR="00C74D26" w:rsidRPr="00C416F4">
          <w:rPr>
            <w:rStyle w:val="Hypertextovodkaz"/>
            <w:rFonts w:ascii="Arial" w:hAnsi="Arial" w:cs="Arial"/>
            <w:sz w:val="20"/>
            <w:szCs w:val="20"/>
          </w:rPr>
          <w:t>http://bit.ly/1k3otBC</w:t>
        </w:r>
      </w:hyperlink>
      <w:r w:rsidR="00C74D26">
        <w:rPr>
          <w:rFonts w:ascii="Arial" w:hAnsi="Arial" w:cs="Arial"/>
          <w:color w:val="auto"/>
          <w:sz w:val="20"/>
          <w:szCs w:val="20"/>
        </w:rPr>
        <w:t xml:space="preserve"> </w:t>
      </w:r>
    </w:p>
    <w:p w:rsidR="00106B1B" w:rsidRPr="0082778D" w:rsidRDefault="000D47F6" w:rsidP="004B5F80">
      <w:pPr>
        <w:widowControl w:val="0"/>
        <w:autoSpaceDE w:val="0"/>
        <w:autoSpaceDN w:val="0"/>
        <w:adjustRightInd w:val="0"/>
        <w:spacing w:after="0" w:line="360" w:lineRule="auto"/>
        <w:rPr>
          <w:rFonts w:ascii="Arial" w:hAnsi="Arial" w:cs="Arial"/>
          <w:color w:val="auto"/>
          <w:sz w:val="20"/>
          <w:szCs w:val="20"/>
        </w:rPr>
      </w:pPr>
      <w:r>
        <w:rPr>
          <w:rFonts w:ascii="Arial" w:hAnsi="Arial" w:cs="Arial"/>
          <w:color w:val="auto"/>
          <w:sz w:val="20"/>
          <w:szCs w:val="20"/>
          <w:vertAlign w:val="superscript"/>
        </w:rPr>
        <w:t>5</w:t>
      </w:r>
      <w:r w:rsidR="00106B1B">
        <w:rPr>
          <w:rFonts w:ascii="Arial" w:hAnsi="Arial" w:cs="Arial"/>
          <w:color w:val="auto"/>
          <w:sz w:val="20"/>
          <w:szCs w:val="20"/>
        </w:rPr>
        <w:t xml:space="preserve"> </w:t>
      </w:r>
      <w:r w:rsidR="00BA79EA" w:rsidRPr="00BA79EA">
        <w:rPr>
          <w:rFonts w:ascii="Arial" w:hAnsi="Arial" w:cs="Arial"/>
          <w:color w:val="auto"/>
          <w:sz w:val="20"/>
          <w:szCs w:val="20"/>
        </w:rPr>
        <w:t xml:space="preserve">The </w:t>
      </w:r>
      <w:r w:rsidR="00BA79EA" w:rsidRPr="00EC4E36">
        <w:rPr>
          <w:rFonts w:ascii="Arial" w:hAnsi="Arial" w:cs="Arial"/>
          <w:b/>
          <w:color w:val="auto"/>
          <w:sz w:val="20"/>
          <w:szCs w:val="20"/>
        </w:rPr>
        <w:t>Brand Builders</w:t>
      </w:r>
      <w:r w:rsidR="00BA79EA" w:rsidRPr="00BA79EA">
        <w:rPr>
          <w:rFonts w:ascii="Arial" w:hAnsi="Arial" w:cs="Arial"/>
          <w:color w:val="auto"/>
          <w:sz w:val="20"/>
          <w:szCs w:val="20"/>
        </w:rPr>
        <w:t xml:space="preserve"> are part of IAB Europe’s Brand Advertising Framework, a set of </w:t>
      </w:r>
      <w:r w:rsidR="004B5F80">
        <w:rPr>
          <w:rFonts w:ascii="Arial" w:hAnsi="Arial" w:cs="Arial"/>
          <w:color w:val="auto"/>
          <w:sz w:val="20"/>
          <w:szCs w:val="20"/>
        </w:rPr>
        <w:t>i</w:t>
      </w:r>
      <w:r w:rsidR="00BA79EA" w:rsidRPr="00BA79EA">
        <w:rPr>
          <w:rFonts w:ascii="Arial" w:hAnsi="Arial" w:cs="Arial"/>
          <w:color w:val="auto"/>
          <w:sz w:val="20"/>
          <w:szCs w:val="20"/>
        </w:rPr>
        <w:t xml:space="preserve">nitiatives for the converging digital and traditional media environment designed to be compatible with global </w:t>
      </w:r>
      <w:proofErr w:type="spellStart"/>
      <w:r w:rsidR="00BA79EA" w:rsidRPr="00BA79EA">
        <w:rPr>
          <w:rFonts w:ascii="Arial" w:hAnsi="Arial" w:cs="Arial"/>
          <w:color w:val="auto"/>
          <w:sz w:val="20"/>
          <w:szCs w:val="20"/>
        </w:rPr>
        <w:t>programmes</w:t>
      </w:r>
      <w:proofErr w:type="spellEnd"/>
      <w:r w:rsidR="00BA79EA" w:rsidRPr="00BA79EA">
        <w:rPr>
          <w:rFonts w:ascii="Arial" w:hAnsi="Arial" w:cs="Arial"/>
          <w:color w:val="auto"/>
          <w:sz w:val="20"/>
          <w:szCs w:val="20"/>
        </w:rPr>
        <w:t>. The initiative aims to drive brand</w:t>
      </w:r>
      <w:r w:rsidR="00BA79EA">
        <w:rPr>
          <w:rFonts w:ascii="Arial" w:hAnsi="Arial" w:cs="Arial"/>
          <w:color w:val="auto"/>
          <w:sz w:val="20"/>
          <w:szCs w:val="20"/>
        </w:rPr>
        <w:t xml:space="preserve"> investment into digital </w:t>
      </w:r>
      <w:r w:rsidR="00BA79EA" w:rsidRPr="00B6080E">
        <w:rPr>
          <w:rFonts w:ascii="Arial" w:hAnsi="Arial" w:cs="Arial"/>
          <w:color w:val="auto"/>
          <w:sz w:val="20"/>
          <w:szCs w:val="20"/>
        </w:rPr>
        <w:t>media. The suite of six recommended brand advertising formats is a blank canvas rather than a prescriptive package, the only format prescription within the suite being the pixel dimension</w:t>
      </w:r>
      <w:r w:rsidR="00D63BB5" w:rsidRPr="00B6080E">
        <w:rPr>
          <w:rFonts w:ascii="Arial" w:hAnsi="Arial" w:cs="Arial"/>
          <w:color w:val="auto"/>
          <w:sz w:val="20"/>
          <w:szCs w:val="20"/>
        </w:rPr>
        <w:t xml:space="preserve">. IAB Europe is now looking at producing a </w:t>
      </w:r>
      <w:r w:rsidR="00C953CE" w:rsidRPr="00B6080E">
        <w:rPr>
          <w:rFonts w:ascii="Arial" w:hAnsi="Arial" w:cs="Arial"/>
          <w:color w:val="auto"/>
          <w:sz w:val="20"/>
          <w:szCs w:val="20"/>
        </w:rPr>
        <w:t>recommendation</w:t>
      </w:r>
      <w:r w:rsidR="00D63BB5" w:rsidRPr="00B6080E">
        <w:rPr>
          <w:rFonts w:ascii="Arial" w:hAnsi="Arial" w:cs="Arial"/>
          <w:color w:val="auto"/>
          <w:sz w:val="20"/>
          <w:szCs w:val="20"/>
        </w:rPr>
        <w:t xml:space="preserve"> for In-Page mobile brand advertising formats and will</w:t>
      </w:r>
      <w:r w:rsidR="00EC4E36" w:rsidRPr="00B6080E">
        <w:rPr>
          <w:rFonts w:ascii="Arial" w:hAnsi="Arial" w:cs="Arial"/>
          <w:color w:val="auto"/>
          <w:sz w:val="20"/>
          <w:szCs w:val="20"/>
        </w:rPr>
        <w:t xml:space="preserve"> also look at In-Stream formats. </w:t>
      </w:r>
      <w:r w:rsidR="00D63BB5" w:rsidRPr="00B6080E">
        <w:rPr>
          <w:rFonts w:ascii="Arial" w:hAnsi="Arial" w:cs="Arial"/>
          <w:color w:val="auto"/>
          <w:sz w:val="20"/>
          <w:szCs w:val="20"/>
        </w:rPr>
        <w:t>Find out more about the Brand Builders here</w:t>
      </w:r>
      <w:r w:rsidR="00B775EC" w:rsidRPr="00B6080E">
        <w:rPr>
          <w:rFonts w:ascii="Arial" w:hAnsi="Arial" w:cs="Arial"/>
          <w:color w:val="auto"/>
          <w:sz w:val="20"/>
          <w:szCs w:val="20"/>
        </w:rPr>
        <w:t xml:space="preserve"> - </w:t>
      </w:r>
      <w:hyperlink r:id="rId16" w:history="1">
        <w:r w:rsidR="00B775EC" w:rsidRPr="00B6080E">
          <w:rPr>
            <w:rStyle w:val="Hypertextovodkaz"/>
            <w:rFonts w:ascii="Arial" w:hAnsi="Arial" w:cs="Arial"/>
            <w:sz w:val="20"/>
            <w:szCs w:val="20"/>
          </w:rPr>
          <w:t>http://bit.ly/1miUG7s</w:t>
        </w:r>
      </w:hyperlink>
      <w:r w:rsidR="00B775EC">
        <w:t xml:space="preserve"> </w:t>
      </w:r>
    </w:p>
    <w:sectPr w:rsidR="00106B1B" w:rsidRPr="0082778D" w:rsidSect="006928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13D" w:rsidRDefault="0099613D" w:rsidP="00725DF6">
      <w:pPr>
        <w:spacing w:after="0" w:line="240" w:lineRule="auto"/>
      </w:pPr>
      <w:r>
        <w:separator/>
      </w:r>
    </w:p>
  </w:endnote>
  <w:endnote w:type="continuationSeparator" w:id="0">
    <w:p w:rsidR="0099613D" w:rsidRDefault="0099613D" w:rsidP="0072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13D" w:rsidRDefault="0099613D" w:rsidP="00725DF6">
      <w:pPr>
        <w:spacing w:after="0" w:line="240" w:lineRule="auto"/>
      </w:pPr>
      <w:r>
        <w:separator/>
      </w:r>
    </w:p>
  </w:footnote>
  <w:footnote w:type="continuationSeparator" w:id="0">
    <w:p w:rsidR="0099613D" w:rsidRDefault="0099613D" w:rsidP="00725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 facebook.jpg" style="width:168.75pt;height:168.75pt;visibility:visible" o:bullet="t">
        <v:imagedata r:id="rId1" o:title="Logo facebook"/>
      </v:shape>
    </w:pict>
  </w:numPicBullet>
  <w:numPicBullet w:numPicBulletId="1">
    <w:pict>
      <v:shape id="_x0000_i1029" type="#_x0000_t75" alt="Inline image 3" style="width:18pt;height:12.75pt;visibility:visible;mso-wrap-style:square" o:bullet="t">
        <v:imagedata r:id="rId2" o:title="Inline image 3"/>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8A31F3"/>
    <w:multiLevelType w:val="hybridMultilevel"/>
    <w:tmpl w:val="FD30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53C86"/>
    <w:multiLevelType w:val="multilevel"/>
    <w:tmpl w:val="1EACFCEE"/>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E115BC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E0013B3"/>
    <w:multiLevelType w:val="hybridMultilevel"/>
    <w:tmpl w:val="DB5632AA"/>
    <w:lvl w:ilvl="0" w:tplc="F586DB28">
      <w:start w:val="1"/>
      <w:numFmt w:val="bullet"/>
      <w:lvlText w:val=""/>
      <w:lvlPicBulletId w:val="1"/>
      <w:lvlJc w:val="left"/>
      <w:pPr>
        <w:tabs>
          <w:tab w:val="num" w:pos="720"/>
        </w:tabs>
        <w:ind w:left="720" w:hanging="360"/>
      </w:pPr>
      <w:rPr>
        <w:rFonts w:ascii="Symbol" w:hAnsi="Symbol" w:hint="default"/>
      </w:rPr>
    </w:lvl>
    <w:lvl w:ilvl="1" w:tplc="1AF203AA" w:tentative="1">
      <w:start w:val="1"/>
      <w:numFmt w:val="bullet"/>
      <w:lvlText w:val=""/>
      <w:lvlJc w:val="left"/>
      <w:pPr>
        <w:tabs>
          <w:tab w:val="num" w:pos="1440"/>
        </w:tabs>
        <w:ind w:left="1440" w:hanging="360"/>
      </w:pPr>
      <w:rPr>
        <w:rFonts w:ascii="Symbol" w:hAnsi="Symbol" w:hint="default"/>
      </w:rPr>
    </w:lvl>
    <w:lvl w:ilvl="2" w:tplc="E2485FEC" w:tentative="1">
      <w:start w:val="1"/>
      <w:numFmt w:val="bullet"/>
      <w:lvlText w:val=""/>
      <w:lvlJc w:val="left"/>
      <w:pPr>
        <w:tabs>
          <w:tab w:val="num" w:pos="2160"/>
        </w:tabs>
        <w:ind w:left="2160" w:hanging="360"/>
      </w:pPr>
      <w:rPr>
        <w:rFonts w:ascii="Symbol" w:hAnsi="Symbol" w:hint="default"/>
      </w:rPr>
    </w:lvl>
    <w:lvl w:ilvl="3" w:tplc="5DF60E86" w:tentative="1">
      <w:start w:val="1"/>
      <w:numFmt w:val="bullet"/>
      <w:lvlText w:val=""/>
      <w:lvlJc w:val="left"/>
      <w:pPr>
        <w:tabs>
          <w:tab w:val="num" w:pos="2880"/>
        </w:tabs>
        <w:ind w:left="2880" w:hanging="360"/>
      </w:pPr>
      <w:rPr>
        <w:rFonts w:ascii="Symbol" w:hAnsi="Symbol" w:hint="default"/>
      </w:rPr>
    </w:lvl>
    <w:lvl w:ilvl="4" w:tplc="8916B0E4" w:tentative="1">
      <w:start w:val="1"/>
      <w:numFmt w:val="bullet"/>
      <w:lvlText w:val=""/>
      <w:lvlJc w:val="left"/>
      <w:pPr>
        <w:tabs>
          <w:tab w:val="num" w:pos="3600"/>
        </w:tabs>
        <w:ind w:left="3600" w:hanging="360"/>
      </w:pPr>
      <w:rPr>
        <w:rFonts w:ascii="Symbol" w:hAnsi="Symbol" w:hint="default"/>
      </w:rPr>
    </w:lvl>
    <w:lvl w:ilvl="5" w:tplc="A33E1444" w:tentative="1">
      <w:start w:val="1"/>
      <w:numFmt w:val="bullet"/>
      <w:lvlText w:val=""/>
      <w:lvlJc w:val="left"/>
      <w:pPr>
        <w:tabs>
          <w:tab w:val="num" w:pos="4320"/>
        </w:tabs>
        <w:ind w:left="4320" w:hanging="360"/>
      </w:pPr>
      <w:rPr>
        <w:rFonts w:ascii="Symbol" w:hAnsi="Symbol" w:hint="default"/>
      </w:rPr>
    </w:lvl>
    <w:lvl w:ilvl="6" w:tplc="CCB86168" w:tentative="1">
      <w:start w:val="1"/>
      <w:numFmt w:val="bullet"/>
      <w:lvlText w:val=""/>
      <w:lvlJc w:val="left"/>
      <w:pPr>
        <w:tabs>
          <w:tab w:val="num" w:pos="5040"/>
        </w:tabs>
        <w:ind w:left="5040" w:hanging="360"/>
      </w:pPr>
      <w:rPr>
        <w:rFonts w:ascii="Symbol" w:hAnsi="Symbol" w:hint="default"/>
      </w:rPr>
    </w:lvl>
    <w:lvl w:ilvl="7" w:tplc="56EE3D4E" w:tentative="1">
      <w:start w:val="1"/>
      <w:numFmt w:val="bullet"/>
      <w:lvlText w:val=""/>
      <w:lvlJc w:val="left"/>
      <w:pPr>
        <w:tabs>
          <w:tab w:val="num" w:pos="5760"/>
        </w:tabs>
        <w:ind w:left="5760" w:hanging="360"/>
      </w:pPr>
      <w:rPr>
        <w:rFonts w:ascii="Symbol" w:hAnsi="Symbol" w:hint="default"/>
      </w:rPr>
    </w:lvl>
    <w:lvl w:ilvl="8" w:tplc="474A4CE8" w:tentative="1">
      <w:start w:val="1"/>
      <w:numFmt w:val="bullet"/>
      <w:lvlText w:val=""/>
      <w:lvlJc w:val="left"/>
      <w:pPr>
        <w:tabs>
          <w:tab w:val="num" w:pos="6480"/>
        </w:tabs>
        <w:ind w:left="6480" w:hanging="360"/>
      </w:pPr>
      <w:rPr>
        <w:rFonts w:ascii="Symbol" w:hAnsi="Symbol" w:hint="default"/>
      </w:rPr>
    </w:lvl>
  </w:abstractNum>
  <w:abstractNum w:abstractNumId="5">
    <w:nsid w:val="546441E6"/>
    <w:multiLevelType w:val="hybridMultilevel"/>
    <w:tmpl w:val="93C453D0"/>
    <w:lvl w:ilvl="0" w:tplc="E8768026">
      <w:start w:val="1"/>
      <w:numFmt w:val="bullet"/>
      <w:lvlText w:val="•"/>
      <w:lvlJc w:val="left"/>
      <w:pPr>
        <w:tabs>
          <w:tab w:val="num" w:pos="720"/>
        </w:tabs>
        <w:ind w:left="720" w:hanging="360"/>
      </w:pPr>
      <w:rPr>
        <w:rFonts w:ascii="Arial" w:hAnsi="Arial" w:hint="default"/>
      </w:rPr>
    </w:lvl>
    <w:lvl w:ilvl="1" w:tplc="9E884752" w:tentative="1">
      <w:start w:val="1"/>
      <w:numFmt w:val="bullet"/>
      <w:lvlText w:val="•"/>
      <w:lvlJc w:val="left"/>
      <w:pPr>
        <w:tabs>
          <w:tab w:val="num" w:pos="1440"/>
        </w:tabs>
        <w:ind w:left="1440" w:hanging="360"/>
      </w:pPr>
      <w:rPr>
        <w:rFonts w:ascii="Arial" w:hAnsi="Arial" w:hint="default"/>
      </w:rPr>
    </w:lvl>
    <w:lvl w:ilvl="2" w:tplc="748EE2A6" w:tentative="1">
      <w:start w:val="1"/>
      <w:numFmt w:val="bullet"/>
      <w:lvlText w:val="•"/>
      <w:lvlJc w:val="left"/>
      <w:pPr>
        <w:tabs>
          <w:tab w:val="num" w:pos="2160"/>
        </w:tabs>
        <w:ind w:left="2160" w:hanging="360"/>
      </w:pPr>
      <w:rPr>
        <w:rFonts w:ascii="Arial" w:hAnsi="Arial" w:hint="default"/>
      </w:rPr>
    </w:lvl>
    <w:lvl w:ilvl="3" w:tplc="76DE7F3C" w:tentative="1">
      <w:start w:val="1"/>
      <w:numFmt w:val="bullet"/>
      <w:lvlText w:val="•"/>
      <w:lvlJc w:val="left"/>
      <w:pPr>
        <w:tabs>
          <w:tab w:val="num" w:pos="2880"/>
        </w:tabs>
        <w:ind w:left="2880" w:hanging="360"/>
      </w:pPr>
      <w:rPr>
        <w:rFonts w:ascii="Arial" w:hAnsi="Arial" w:hint="default"/>
      </w:rPr>
    </w:lvl>
    <w:lvl w:ilvl="4" w:tplc="B674FFE8" w:tentative="1">
      <w:start w:val="1"/>
      <w:numFmt w:val="bullet"/>
      <w:lvlText w:val="•"/>
      <w:lvlJc w:val="left"/>
      <w:pPr>
        <w:tabs>
          <w:tab w:val="num" w:pos="3600"/>
        </w:tabs>
        <w:ind w:left="3600" w:hanging="360"/>
      </w:pPr>
      <w:rPr>
        <w:rFonts w:ascii="Arial" w:hAnsi="Arial" w:hint="default"/>
      </w:rPr>
    </w:lvl>
    <w:lvl w:ilvl="5" w:tplc="1E6A3C02" w:tentative="1">
      <w:start w:val="1"/>
      <w:numFmt w:val="bullet"/>
      <w:lvlText w:val="•"/>
      <w:lvlJc w:val="left"/>
      <w:pPr>
        <w:tabs>
          <w:tab w:val="num" w:pos="4320"/>
        </w:tabs>
        <w:ind w:left="4320" w:hanging="360"/>
      </w:pPr>
      <w:rPr>
        <w:rFonts w:ascii="Arial" w:hAnsi="Arial" w:hint="default"/>
      </w:rPr>
    </w:lvl>
    <w:lvl w:ilvl="6" w:tplc="8DA0977C" w:tentative="1">
      <w:start w:val="1"/>
      <w:numFmt w:val="bullet"/>
      <w:lvlText w:val="•"/>
      <w:lvlJc w:val="left"/>
      <w:pPr>
        <w:tabs>
          <w:tab w:val="num" w:pos="5040"/>
        </w:tabs>
        <w:ind w:left="5040" w:hanging="360"/>
      </w:pPr>
      <w:rPr>
        <w:rFonts w:ascii="Arial" w:hAnsi="Arial" w:hint="default"/>
      </w:rPr>
    </w:lvl>
    <w:lvl w:ilvl="7" w:tplc="D7C42D3A" w:tentative="1">
      <w:start w:val="1"/>
      <w:numFmt w:val="bullet"/>
      <w:lvlText w:val="•"/>
      <w:lvlJc w:val="left"/>
      <w:pPr>
        <w:tabs>
          <w:tab w:val="num" w:pos="5760"/>
        </w:tabs>
        <w:ind w:left="5760" w:hanging="360"/>
      </w:pPr>
      <w:rPr>
        <w:rFonts w:ascii="Arial" w:hAnsi="Arial" w:hint="default"/>
      </w:rPr>
    </w:lvl>
    <w:lvl w:ilvl="8" w:tplc="5D6EB7A6" w:tentative="1">
      <w:start w:val="1"/>
      <w:numFmt w:val="bullet"/>
      <w:lvlText w:val="•"/>
      <w:lvlJc w:val="left"/>
      <w:pPr>
        <w:tabs>
          <w:tab w:val="num" w:pos="6480"/>
        </w:tabs>
        <w:ind w:left="6480" w:hanging="360"/>
      </w:pPr>
      <w:rPr>
        <w:rFonts w:ascii="Arial" w:hAnsi="Arial" w:hint="default"/>
      </w:rPr>
    </w:lvl>
  </w:abstractNum>
  <w:abstractNum w:abstractNumId="6">
    <w:nsid w:val="5D246BB7"/>
    <w:multiLevelType w:val="hybridMultilevel"/>
    <w:tmpl w:val="EAB2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356FC7"/>
    <w:multiLevelType w:val="hybridMultilevel"/>
    <w:tmpl w:val="DEE0B6E0"/>
    <w:lvl w:ilvl="0" w:tplc="4DFE8ED8">
      <w:start w:val="1"/>
      <w:numFmt w:val="bullet"/>
      <w:lvlText w:val=""/>
      <w:lvlPicBulletId w:val="0"/>
      <w:lvlJc w:val="left"/>
      <w:pPr>
        <w:tabs>
          <w:tab w:val="num" w:pos="720"/>
        </w:tabs>
        <w:ind w:left="720" w:hanging="360"/>
      </w:pPr>
      <w:rPr>
        <w:rFonts w:ascii="Symbol" w:hAnsi="Symbol" w:hint="default"/>
      </w:rPr>
    </w:lvl>
    <w:lvl w:ilvl="1" w:tplc="9A8EB44A" w:tentative="1">
      <w:start w:val="1"/>
      <w:numFmt w:val="bullet"/>
      <w:lvlText w:val=""/>
      <w:lvlJc w:val="left"/>
      <w:pPr>
        <w:tabs>
          <w:tab w:val="num" w:pos="1440"/>
        </w:tabs>
        <w:ind w:left="1440" w:hanging="360"/>
      </w:pPr>
      <w:rPr>
        <w:rFonts w:ascii="Symbol" w:hAnsi="Symbol" w:hint="default"/>
      </w:rPr>
    </w:lvl>
    <w:lvl w:ilvl="2" w:tplc="1C985784" w:tentative="1">
      <w:start w:val="1"/>
      <w:numFmt w:val="bullet"/>
      <w:lvlText w:val=""/>
      <w:lvlJc w:val="left"/>
      <w:pPr>
        <w:tabs>
          <w:tab w:val="num" w:pos="2160"/>
        </w:tabs>
        <w:ind w:left="2160" w:hanging="360"/>
      </w:pPr>
      <w:rPr>
        <w:rFonts w:ascii="Symbol" w:hAnsi="Symbol" w:hint="default"/>
      </w:rPr>
    </w:lvl>
    <w:lvl w:ilvl="3" w:tplc="F630521C" w:tentative="1">
      <w:start w:val="1"/>
      <w:numFmt w:val="bullet"/>
      <w:lvlText w:val=""/>
      <w:lvlJc w:val="left"/>
      <w:pPr>
        <w:tabs>
          <w:tab w:val="num" w:pos="2880"/>
        </w:tabs>
        <w:ind w:left="2880" w:hanging="360"/>
      </w:pPr>
      <w:rPr>
        <w:rFonts w:ascii="Symbol" w:hAnsi="Symbol" w:hint="default"/>
      </w:rPr>
    </w:lvl>
    <w:lvl w:ilvl="4" w:tplc="87762890" w:tentative="1">
      <w:start w:val="1"/>
      <w:numFmt w:val="bullet"/>
      <w:lvlText w:val=""/>
      <w:lvlJc w:val="left"/>
      <w:pPr>
        <w:tabs>
          <w:tab w:val="num" w:pos="3600"/>
        </w:tabs>
        <w:ind w:left="3600" w:hanging="360"/>
      </w:pPr>
      <w:rPr>
        <w:rFonts w:ascii="Symbol" w:hAnsi="Symbol" w:hint="default"/>
      </w:rPr>
    </w:lvl>
    <w:lvl w:ilvl="5" w:tplc="A5C87FD4" w:tentative="1">
      <w:start w:val="1"/>
      <w:numFmt w:val="bullet"/>
      <w:lvlText w:val=""/>
      <w:lvlJc w:val="left"/>
      <w:pPr>
        <w:tabs>
          <w:tab w:val="num" w:pos="4320"/>
        </w:tabs>
        <w:ind w:left="4320" w:hanging="360"/>
      </w:pPr>
      <w:rPr>
        <w:rFonts w:ascii="Symbol" w:hAnsi="Symbol" w:hint="default"/>
      </w:rPr>
    </w:lvl>
    <w:lvl w:ilvl="6" w:tplc="72F0BED2" w:tentative="1">
      <w:start w:val="1"/>
      <w:numFmt w:val="bullet"/>
      <w:lvlText w:val=""/>
      <w:lvlJc w:val="left"/>
      <w:pPr>
        <w:tabs>
          <w:tab w:val="num" w:pos="5040"/>
        </w:tabs>
        <w:ind w:left="5040" w:hanging="360"/>
      </w:pPr>
      <w:rPr>
        <w:rFonts w:ascii="Symbol" w:hAnsi="Symbol" w:hint="default"/>
      </w:rPr>
    </w:lvl>
    <w:lvl w:ilvl="7" w:tplc="0832B486" w:tentative="1">
      <w:start w:val="1"/>
      <w:numFmt w:val="bullet"/>
      <w:lvlText w:val=""/>
      <w:lvlJc w:val="left"/>
      <w:pPr>
        <w:tabs>
          <w:tab w:val="num" w:pos="5760"/>
        </w:tabs>
        <w:ind w:left="5760" w:hanging="360"/>
      </w:pPr>
      <w:rPr>
        <w:rFonts w:ascii="Symbol" w:hAnsi="Symbol" w:hint="default"/>
      </w:rPr>
    </w:lvl>
    <w:lvl w:ilvl="8" w:tplc="26DE748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6"/>
  </w:num>
  <w:num w:numId="3">
    <w:abstractNumId w:val="7"/>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8D"/>
    <w:rsid w:val="000128DD"/>
    <w:rsid w:val="00017290"/>
    <w:rsid w:val="00023033"/>
    <w:rsid w:val="000436F5"/>
    <w:rsid w:val="00063199"/>
    <w:rsid w:val="00082D63"/>
    <w:rsid w:val="00094415"/>
    <w:rsid w:val="000C3E11"/>
    <w:rsid w:val="000D3E8C"/>
    <w:rsid w:val="000D47F6"/>
    <w:rsid w:val="000D4957"/>
    <w:rsid w:val="000E7BF5"/>
    <w:rsid w:val="000F39FC"/>
    <w:rsid w:val="00106B1B"/>
    <w:rsid w:val="001157B2"/>
    <w:rsid w:val="001250F0"/>
    <w:rsid w:val="0015315E"/>
    <w:rsid w:val="00180A1C"/>
    <w:rsid w:val="00184464"/>
    <w:rsid w:val="001C340B"/>
    <w:rsid w:val="001C786E"/>
    <w:rsid w:val="00201A7F"/>
    <w:rsid w:val="00206956"/>
    <w:rsid w:val="002134A6"/>
    <w:rsid w:val="0025201C"/>
    <w:rsid w:val="0025525E"/>
    <w:rsid w:val="00260836"/>
    <w:rsid w:val="00272FCE"/>
    <w:rsid w:val="002765B4"/>
    <w:rsid w:val="00290EEC"/>
    <w:rsid w:val="002922AC"/>
    <w:rsid w:val="00294C13"/>
    <w:rsid w:val="002D46F5"/>
    <w:rsid w:val="002F47B7"/>
    <w:rsid w:val="00300365"/>
    <w:rsid w:val="00360876"/>
    <w:rsid w:val="003B5A87"/>
    <w:rsid w:val="003C1F49"/>
    <w:rsid w:val="003C6E33"/>
    <w:rsid w:val="003F43E2"/>
    <w:rsid w:val="003F559C"/>
    <w:rsid w:val="00401802"/>
    <w:rsid w:val="004025A2"/>
    <w:rsid w:val="00403448"/>
    <w:rsid w:val="00404105"/>
    <w:rsid w:val="0042295D"/>
    <w:rsid w:val="00432A63"/>
    <w:rsid w:val="00433964"/>
    <w:rsid w:val="00433A69"/>
    <w:rsid w:val="00435B36"/>
    <w:rsid w:val="00442FBA"/>
    <w:rsid w:val="0045077D"/>
    <w:rsid w:val="00454CE9"/>
    <w:rsid w:val="00457589"/>
    <w:rsid w:val="00466E6D"/>
    <w:rsid w:val="00467B3C"/>
    <w:rsid w:val="004A3028"/>
    <w:rsid w:val="004A4F27"/>
    <w:rsid w:val="004B3344"/>
    <w:rsid w:val="004B5F80"/>
    <w:rsid w:val="004D04D4"/>
    <w:rsid w:val="004D598F"/>
    <w:rsid w:val="00510391"/>
    <w:rsid w:val="005107DF"/>
    <w:rsid w:val="00524606"/>
    <w:rsid w:val="00530595"/>
    <w:rsid w:val="005358C9"/>
    <w:rsid w:val="00570497"/>
    <w:rsid w:val="00585123"/>
    <w:rsid w:val="0058579F"/>
    <w:rsid w:val="0059400B"/>
    <w:rsid w:val="00595FF0"/>
    <w:rsid w:val="005A17B0"/>
    <w:rsid w:val="005A1C73"/>
    <w:rsid w:val="005B15EF"/>
    <w:rsid w:val="005B76D2"/>
    <w:rsid w:val="005C0537"/>
    <w:rsid w:val="005D2A27"/>
    <w:rsid w:val="005F0403"/>
    <w:rsid w:val="005F4983"/>
    <w:rsid w:val="00605336"/>
    <w:rsid w:val="0060559B"/>
    <w:rsid w:val="006079A8"/>
    <w:rsid w:val="006331E9"/>
    <w:rsid w:val="0064135E"/>
    <w:rsid w:val="006475C9"/>
    <w:rsid w:val="00660B03"/>
    <w:rsid w:val="006753A6"/>
    <w:rsid w:val="006753C3"/>
    <w:rsid w:val="006815C5"/>
    <w:rsid w:val="006854AF"/>
    <w:rsid w:val="00692828"/>
    <w:rsid w:val="006B5838"/>
    <w:rsid w:val="006C42BD"/>
    <w:rsid w:val="00704842"/>
    <w:rsid w:val="00721887"/>
    <w:rsid w:val="00721A0A"/>
    <w:rsid w:val="00725DF6"/>
    <w:rsid w:val="00740882"/>
    <w:rsid w:val="00791CFE"/>
    <w:rsid w:val="0079621D"/>
    <w:rsid w:val="007C7741"/>
    <w:rsid w:val="007F11AA"/>
    <w:rsid w:val="007F3B65"/>
    <w:rsid w:val="007F4CFC"/>
    <w:rsid w:val="007F6496"/>
    <w:rsid w:val="007F6D7B"/>
    <w:rsid w:val="007F7B7D"/>
    <w:rsid w:val="00805F7B"/>
    <w:rsid w:val="0082778D"/>
    <w:rsid w:val="00845C98"/>
    <w:rsid w:val="00851280"/>
    <w:rsid w:val="0085458E"/>
    <w:rsid w:val="00877D9F"/>
    <w:rsid w:val="00884FD8"/>
    <w:rsid w:val="008B5DAB"/>
    <w:rsid w:val="008D05DB"/>
    <w:rsid w:val="008F3A32"/>
    <w:rsid w:val="00924CAD"/>
    <w:rsid w:val="00942551"/>
    <w:rsid w:val="00942A72"/>
    <w:rsid w:val="00953C8E"/>
    <w:rsid w:val="00953E9D"/>
    <w:rsid w:val="00962BB0"/>
    <w:rsid w:val="0099613D"/>
    <w:rsid w:val="0099725A"/>
    <w:rsid w:val="009A1B01"/>
    <w:rsid w:val="009D071B"/>
    <w:rsid w:val="009E076F"/>
    <w:rsid w:val="00A1344F"/>
    <w:rsid w:val="00A1583A"/>
    <w:rsid w:val="00A5540E"/>
    <w:rsid w:val="00A62D4E"/>
    <w:rsid w:val="00A671E0"/>
    <w:rsid w:val="00A87974"/>
    <w:rsid w:val="00A93779"/>
    <w:rsid w:val="00A96A1C"/>
    <w:rsid w:val="00AA12A1"/>
    <w:rsid w:val="00AB7883"/>
    <w:rsid w:val="00B03B7C"/>
    <w:rsid w:val="00B055ED"/>
    <w:rsid w:val="00B126F5"/>
    <w:rsid w:val="00B35F3D"/>
    <w:rsid w:val="00B6080E"/>
    <w:rsid w:val="00B775EC"/>
    <w:rsid w:val="00B803C0"/>
    <w:rsid w:val="00B83A5D"/>
    <w:rsid w:val="00BA79EA"/>
    <w:rsid w:val="00BD4B9C"/>
    <w:rsid w:val="00BD74BC"/>
    <w:rsid w:val="00C245D8"/>
    <w:rsid w:val="00C314A7"/>
    <w:rsid w:val="00C50E12"/>
    <w:rsid w:val="00C71445"/>
    <w:rsid w:val="00C74D26"/>
    <w:rsid w:val="00C762FF"/>
    <w:rsid w:val="00C86643"/>
    <w:rsid w:val="00C90CE9"/>
    <w:rsid w:val="00C953CE"/>
    <w:rsid w:val="00CA4FC7"/>
    <w:rsid w:val="00CC3143"/>
    <w:rsid w:val="00CF3DA2"/>
    <w:rsid w:val="00D14B5F"/>
    <w:rsid w:val="00D24A1E"/>
    <w:rsid w:val="00D323D3"/>
    <w:rsid w:val="00D37448"/>
    <w:rsid w:val="00D55CE6"/>
    <w:rsid w:val="00D63BB5"/>
    <w:rsid w:val="00D65BA8"/>
    <w:rsid w:val="00D77704"/>
    <w:rsid w:val="00D820ED"/>
    <w:rsid w:val="00D861AF"/>
    <w:rsid w:val="00DA05C8"/>
    <w:rsid w:val="00DA0823"/>
    <w:rsid w:val="00DA1288"/>
    <w:rsid w:val="00DA13C0"/>
    <w:rsid w:val="00DB748A"/>
    <w:rsid w:val="00DC609D"/>
    <w:rsid w:val="00DD66D8"/>
    <w:rsid w:val="00DF27F5"/>
    <w:rsid w:val="00E04EE4"/>
    <w:rsid w:val="00E33546"/>
    <w:rsid w:val="00E35AB3"/>
    <w:rsid w:val="00E37F09"/>
    <w:rsid w:val="00E423F2"/>
    <w:rsid w:val="00E47553"/>
    <w:rsid w:val="00E938B6"/>
    <w:rsid w:val="00EA40A5"/>
    <w:rsid w:val="00EC4E36"/>
    <w:rsid w:val="00EF49B0"/>
    <w:rsid w:val="00F00AB9"/>
    <w:rsid w:val="00F25DCF"/>
    <w:rsid w:val="00F67547"/>
    <w:rsid w:val="00F921EB"/>
    <w:rsid w:val="00FA6654"/>
    <w:rsid w:val="00FB102D"/>
    <w:rsid w:val="00FB166B"/>
    <w:rsid w:val="00FB4894"/>
    <w:rsid w:val="00FB7592"/>
    <w:rsid w:val="00FD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92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78D"/>
    <w:pPr>
      <w:suppressAutoHyphens/>
      <w:spacing w:after="200" w:line="276" w:lineRule="auto"/>
    </w:pPr>
    <w:rPr>
      <w:rFonts w:ascii="Calibri" w:eastAsia="Calibri" w:hAnsi="Calibri" w:cs="Calibri"/>
      <w:color w:val="000000"/>
      <w:sz w:val="22"/>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82778D"/>
    <w:rPr>
      <w:color w:val="000080"/>
      <w:u w:val="single"/>
    </w:rPr>
  </w:style>
  <w:style w:type="paragraph" w:styleId="Odstavecseseznamem">
    <w:name w:val="List Paragraph"/>
    <w:basedOn w:val="Normln"/>
    <w:uiPriority w:val="34"/>
    <w:qFormat/>
    <w:rsid w:val="0082778D"/>
    <w:pPr>
      <w:suppressAutoHyphens w:val="0"/>
      <w:spacing w:after="0" w:line="240" w:lineRule="auto"/>
      <w:ind w:left="720"/>
      <w:contextualSpacing/>
    </w:pPr>
    <w:rPr>
      <w:rFonts w:ascii="Cambria" w:eastAsia="MS Mincho" w:hAnsi="Cambria" w:cs="Times New Roman"/>
      <w:color w:val="auto"/>
      <w:sz w:val="24"/>
      <w:szCs w:val="24"/>
      <w:lang w:bidi="ar-SA"/>
    </w:rPr>
  </w:style>
  <w:style w:type="paragraph" w:styleId="Textbubliny">
    <w:name w:val="Balloon Text"/>
    <w:basedOn w:val="Normln"/>
    <w:link w:val="TextbublinyChar"/>
    <w:uiPriority w:val="99"/>
    <w:semiHidden/>
    <w:unhideWhenUsed/>
    <w:rsid w:val="0082778D"/>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82778D"/>
    <w:rPr>
      <w:rFonts w:ascii="Lucida Grande" w:eastAsia="Calibri" w:hAnsi="Lucida Grande" w:cs="Lucida Grande"/>
      <w:color w:val="000000"/>
      <w:sz w:val="18"/>
      <w:szCs w:val="18"/>
      <w:lang w:bidi="en-US"/>
    </w:rPr>
  </w:style>
  <w:style w:type="table" w:styleId="Mkatabulky">
    <w:name w:val="Table Grid"/>
    <w:basedOn w:val="Normlntabulka"/>
    <w:uiPriority w:val="59"/>
    <w:rsid w:val="00A6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250F0"/>
    <w:rPr>
      <w:sz w:val="16"/>
      <w:szCs w:val="16"/>
    </w:rPr>
  </w:style>
  <w:style w:type="paragraph" w:styleId="Textkomente">
    <w:name w:val="annotation text"/>
    <w:basedOn w:val="Normln"/>
    <w:link w:val="TextkomenteChar"/>
    <w:uiPriority w:val="99"/>
    <w:semiHidden/>
    <w:unhideWhenUsed/>
    <w:rsid w:val="001250F0"/>
    <w:pPr>
      <w:spacing w:line="240" w:lineRule="auto"/>
    </w:pPr>
    <w:rPr>
      <w:sz w:val="20"/>
      <w:szCs w:val="20"/>
    </w:rPr>
  </w:style>
  <w:style w:type="character" w:customStyle="1" w:styleId="TextkomenteChar">
    <w:name w:val="Text komentáře Char"/>
    <w:basedOn w:val="Standardnpsmoodstavce"/>
    <w:link w:val="Textkomente"/>
    <w:uiPriority w:val="99"/>
    <w:semiHidden/>
    <w:rsid w:val="001250F0"/>
    <w:rPr>
      <w:rFonts w:ascii="Calibri" w:eastAsia="Calibri" w:hAnsi="Calibri" w:cs="Calibri"/>
      <w:color w:val="000000"/>
      <w:sz w:val="20"/>
      <w:szCs w:val="20"/>
      <w:lang w:bidi="en-US"/>
    </w:rPr>
  </w:style>
  <w:style w:type="paragraph" w:styleId="Pedmtkomente">
    <w:name w:val="annotation subject"/>
    <w:basedOn w:val="Textkomente"/>
    <w:next w:val="Textkomente"/>
    <w:link w:val="PedmtkomenteChar"/>
    <w:uiPriority w:val="99"/>
    <w:semiHidden/>
    <w:unhideWhenUsed/>
    <w:rsid w:val="001250F0"/>
    <w:rPr>
      <w:b/>
      <w:bCs/>
    </w:rPr>
  </w:style>
  <w:style w:type="character" w:customStyle="1" w:styleId="PedmtkomenteChar">
    <w:name w:val="Předmět komentáře Char"/>
    <w:basedOn w:val="TextkomenteChar"/>
    <w:link w:val="Pedmtkomente"/>
    <w:uiPriority w:val="99"/>
    <w:semiHidden/>
    <w:rsid w:val="001250F0"/>
    <w:rPr>
      <w:rFonts w:ascii="Calibri" w:eastAsia="Calibri" w:hAnsi="Calibri" w:cs="Calibri"/>
      <w:b/>
      <w:bCs/>
      <w:color w:val="000000"/>
      <w:sz w:val="20"/>
      <w:szCs w:val="20"/>
      <w:lang w:bidi="en-US"/>
    </w:rPr>
  </w:style>
  <w:style w:type="paragraph" w:styleId="Zhlav">
    <w:name w:val="header"/>
    <w:basedOn w:val="Normln"/>
    <w:link w:val="ZhlavChar"/>
    <w:uiPriority w:val="99"/>
    <w:unhideWhenUsed/>
    <w:rsid w:val="00E423F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423F2"/>
    <w:rPr>
      <w:rFonts w:ascii="Calibri" w:eastAsia="Calibri" w:hAnsi="Calibri" w:cs="Calibri"/>
      <w:color w:val="000000"/>
      <w:sz w:val="22"/>
      <w:szCs w:val="22"/>
      <w:lang w:bidi="en-US"/>
    </w:rPr>
  </w:style>
  <w:style w:type="paragraph" w:styleId="Zpat">
    <w:name w:val="footer"/>
    <w:basedOn w:val="Normln"/>
    <w:link w:val="ZpatChar"/>
    <w:uiPriority w:val="99"/>
    <w:unhideWhenUsed/>
    <w:rsid w:val="00E423F2"/>
    <w:pPr>
      <w:tabs>
        <w:tab w:val="center" w:pos="4513"/>
        <w:tab w:val="right" w:pos="9026"/>
      </w:tabs>
      <w:spacing w:after="0" w:line="240" w:lineRule="auto"/>
    </w:pPr>
  </w:style>
  <w:style w:type="character" w:customStyle="1" w:styleId="ZpatChar">
    <w:name w:val="Zápatí Char"/>
    <w:basedOn w:val="Standardnpsmoodstavce"/>
    <w:link w:val="Zpat"/>
    <w:uiPriority w:val="99"/>
    <w:rsid w:val="00E423F2"/>
    <w:rPr>
      <w:rFonts w:ascii="Calibri" w:eastAsia="Calibri" w:hAnsi="Calibri" w:cs="Calibri"/>
      <w:color w:val="000000"/>
      <w:sz w:val="22"/>
      <w:szCs w:val="22"/>
      <w:lang w:bidi="en-US"/>
    </w:rPr>
  </w:style>
  <w:style w:type="paragraph" w:styleId="Textpoznpodarou">
    <w:name w:val="footnote text"/>
    <w:basedOn w:val="Normln"/>
    <w:link w:val="TextpoznpodarouChar"/>
    <w:uiPriority w:val="99"/>
    <w:unhideWhenUsed/>
    <w:rsid w:val="00433964"/>
    <w:pPr>
      <w:suppressAutoHyphens w:val="0"/>
      <w:spacing w:after="0" w:line="240" w:lineRule="auto"/>
    </w:pPr>
    <w:rPr>
      <w:rFonts w:ascii="Arial" w:eastAsia="Times New Roman" w:hAnsi="Arial" w:cs="Arial"/>
      <w:color w:val="auto"/>
      <w:sz w:val="20"/>
      <w:szCs w:val="20"/>
      <w:lang w:val="de-DE" w:eastAsia="de-DE" w:bidi="ar-SA"/>
    </w:rPr>
  </w:style>
  <w:style w:type="character" w:customStyle="1" w:styleId="TextpoznpodarouChar">
    <w:name w:val="Text pozn. pod čarou Char"/>
    <w:basedOn w:val="Standardnpsmoodstavce"/>
    <w:link w:val="Textpoznpodarou"/>
    <w:uiPriority w:val="99"/>
    <w:rsid w:val="00433964"/>
    <w:rPr>
      <w:rFonts w:ascii="Arial" w:eastAsia="Times New Roman" w:hAnsi="Arial" w:cs="Arial"/>
      <w:sz w:val="20"/>
      <w:szCs w:val="20"/>
      <w:lang w:val="de-DE" w:eastAsia="de-DE"/>
    </w:rPr>
  </w:style>
  <w:style w:type="character" w:styleId="Sledovanodkaz">
    <w:name w:val="FollowedHyperlink"/>
    <w:basedOn w:val="Standardnpsmoodstavce"/>
    <w:uiPriority w:val="99"/>
    <w:semiHidden/>
    <w:unhideWhenUsed/>
    <w:rsid w:val="00A93779"/>
    <w:rPr>
      <w:color w:val="800080" w:themeColor="followedHyperlink"/>
      <w:u w:val="single"/>
    </w:rPr>
  </w:style>
  <w:style w:type="paragraph" w:styleId="Textvysvtlivek">
    <w:name w:val="endnote text"/>
    <w:basedOn w:val="Normln"/>
    <w:link w:val="TextvysvtlivekChar"/>
    <w:uiPriority w:val="99"/>
    <w:semiHidden/>
    <w:unhideWhenUsed/>
    <w:rsid w:val="0051039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10391"/>
    <w:rPr>
      <w:rFonts w:ascii="Calibri" w:eastAsia="Calibri" w:hAnsi="Calibri" w:cs="Calibri"/>
      <w:color w:val="000000"/>
      <w:sz w:val="20"/>
      <w:szCs w:val="20"/>
      <w:lang w:bidi="en-US"/>
    </w:rPr>
  </w:style>
  <w:style w:type="character" w:styleId="Odkaznavysvtlivky">
    <w:name w:val="endnote reference"/>
    <w:basedOn w:val="Standardnpsmoodstavce"/>
    <w:uiPriority w:val="99"/>
    <w:semiHidden/>
    <w:unhideWhenUsed/>
    <w:rsid w:val="00510391"/>
    <w:rPr>
      <w:vertAlign w:val="superscript"/>
    </w:rPr>
  </w:style>
  <w:style w:type="character" w:styleId="Znakapoznpodarou">
    <w:name w:val="footnote reference"/>
    <w:basedOn w:val="Standardnpsmoodstavce"/>
    <w:uiPriority w:val="99"/>
    <w:semiHidden/>
    <w:unhideWhenUsed/>
    <w:rsid w:val="005103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778D"/>
    <w:pPr>
      <w:suppressAutoHyphens/>
      <w:spacing w:after="200" w:line="276" w:lineRule="auto"/>
    </w:pPr>
    <w:rPr>
      <w:rFonts w:ascii="Calibri" w:eastAsia="Calibri" w:hAnsi="Calibri" w:cs="Calibri"/>
      <w:color w:val="000000"/>
      <w:sz w:val="22"/>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82778D"/>
    <w:rPr>
      <w:color w:val="000080"/>
      <w:u w:val="single"/>
    </w:rPr>
  </w:style>
  <w:style w:type="paragraph" w:styleId="Odstavecseseznamem">
    <w:name w:val="List Paragraph"/>
    <w:basedOn w:val="Normln"/>
    <w:uiPriority w:val="34"/>
    <w:qFormat/>
    <w:rsid w:val="0082778D"/>
    <w:pPr>
      <w:suppressAutoHyphens w:val="0"/>
      <w:spacing w:after="0" w:line="240" w:lineRule="auto"/>
      <w:ind w:left="720"/>
      <w:contextualSpacing/>
    </w:pPr>
    <w:rPr>
      <w:rFonts w:ascii="Cambria" w:eastAsia="MS Mincho" w:hAnsi="Cambria" w:cs="Times New Roman"/>
      <w:color w:val="auto"/>
      <w:sz w:val="24"/>
      <w:szCs w:val="24"/>
      <w:lang w:bidi="ar-SA"/>
    </w:rPr>
  </w:style>
  <w:style w:type="paragraph" w:styleId="Textbubliny">
    <w:name w:val="Balloon Text"/>
    <w:basedOn w:val="Normln"/>
    <w:link w:val="TextbublinyChar"/>
    <w:uiPriority w:val="99"/>
    <w:semiHidden/>
    <w:unhideWhenUsed/>
    <w:rsid w:val="0082778D"/>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82778D"/>
    <w:rPr>
      <w:rFonts w:ascii="Lucida Grande" w:eastAsia="Calibri" w:hAnsi="Lucida Grande" w:cs="Lucida Grande"/>
      <w:color w:val="000000"/>
      <w:sz w:val="18"/>
      <w:szCs w:val="18"/>
      <w:lang w:bidi="en-US"/>
    </w:rPr>
  </w:style>
  <w:style w:type="table" w:styleId="Mkatabulky">
    <w:name w:val="Table Grid"/>
    <w:basedOn w:val="Normlntabulka"/>
    <w:uiPriority w:val="59"/>
    <w:rsid w:val="00A6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250F0"/>
    <w:rPr>
      <w:sz w:val="16"/>
      <w:szCs w:val="16"/>
    </w:rPr>
  </w:style>
  <w:style w:type="paragraph" w:styleId="Textkomente">
    <w:name w:val="annotation text"/>
    <w:basedOn w:val="Normln"/>
    <w:link w:val="TextkomenteChar"/>
    <w:uiPriority w:val="99"/>
    <w:semiHidden/>
    <w:unhideWhenUsed/>
    <w:rsid w:val="001250F0"/>
    <w:pPr>
      <w:spacing w:line="240" w:lineRule="auto"/>
    </w:pPr>
    <w:rPr>
      <w:sz w:val="20"/>
      <w:szCs w:val="20"/>
    </w:rPr>
  </w:style>
  <w:style w:type="character" w:customStyle="1" w:styleId="TextkomenteChar">
    <w:name w:val="Text komentáře Char"/>
    <w:basedOn w:val="Standardnpsmoodstavce"/>
    <w:link w:val="Textkomente"/>
    <w:uiPriority w:val="99"/>
    <w:semiHidden/>
    <w:rsid w:val="001250F0"/>
    <w:rPr>
      <w:rFonts w:ascii="Calibri" w:eastAsia="Calibri" w:hAnsi="Calibri" w:cs="Calibri"/>
      <w:color w:val="000000"/>
      <w:sz w:val="20"/>
      <w:szCs w:val="20"/>
      <w:lang w:bidi="en-US"/>
    </w:rPr>
  </w:style>
  <w:style w:type="paragraph" w:styleId="Pedmtkomente">
    <w:name w:val="annotation subject"/>
    <w:basedOn w:val="Textkomente"/>
    <w:next w:val="Textkomente"/>
    <w:link w:val="PedmtkomenteChar"/>
    <w:uiPriority w:val="99"/>
    <w:semiHidden/>
    <w:unhideWhenUsed/>
    <w:rsid w:val="001250F0"/>
    <w:rPr>
      <w:b/>
      <w:bCs/>
    </w:rPr>
  </w:style>
  <w:style w:type="character" w:customStyle="1" w:styleId="PedmtkomenteChar">
    <w:name w:val="Předmět komentáře Char"/>
    <w:basedOn w:val="TextkomenteChar"/>
    <w:link w:val="Pedmtkomente"/>
    <w:uiPriority w:val="99"/>
    <w:semiHidden/>
    <w:rsid w:val="001250F0"/>
    <w:rPr>
      <w:rFonts w:ascii="Calibri" w:eastAsia="Calibri" w:hAnsi="Calibri" w:cs="Calibri"/>
      <w:b/>
      <w:bCs/>
      <w:color w:val="000000"/>
      <w:sz w:val="20"/>
      <w:szCs w:val="20"/>
      <w:lang w:bidi="en-US"/>
    </w:rPr>
  </w:style>
  <w:style w:type="paragraph" w:styleId="Zhlav">
    <w:name w:val="header"/>
    <w:basedOn w:val="Normln"/>
    <w:link w:val="ZhlavChar"/>
    <w:uiPriority w:val="99"/>
    <w:unhideWhenUsed/>
    <w:rsid w:val="00E423F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423F2"/>
    <w:rPr>
      <w:rFonts w:ascii="Calibri" w:eastAsia="Calibri" w:hAnsi="Calibri" w:cs="Calibri"/>
      <w:color w:val="000000"/>
      <w:sz w:val="22"/>
      <w:szCs w:val="22"/>
      <w:lang w:bidi="en-US"/>
    </w:rPr>
  </w:style>
  <w:style w:type="paragraph" w:styleId="Zpat">
    <w:name w:val="footer"/>
    <w:basedOn w:val="Normln"/>
    <w:link w:val="ZpatChar"/>
    <w:uiPriority w:val="99"/>
    <w:unhideWhenUsed/>
    <w:rsid w:val="00E423F2"/>
    <w:pPr>
      <w:tabs>
        <w:tab w:val="center" w:pos="4513"/>
        <w:tab w:val="right" w:pos="9026"/>
      </w:tabs>
      <w:spacing w:after="0" w:line="240" w:lineRule="auto"/>
    </w:pPr>
  </w:style>
  <w:style w:type="character" w:customStyle="1" w:styleId="ZpatChar">
    <w:name w:val="Zápatí Char"/>
    <w:basedOn w:val="Standardnpsmoodstavce"/>
    <w:link w:val="Zpat"/>
    <w:uiPriority w:val="99"/>
    <w:rsid w:val="00E423F2"/>
    <w:rPr>
      <w:rFonts w:ascii="Calibri" w:eastAsia="Calibri" w:hAnsi="Calibri" w:cs="Calibri"/>
      <w:color w:val="000000"/>
      <w:sz w:val="22"/>
      <w:szCs w:val="22"/>
      <w:lang w:bidi="en-US"/>
    </w:rPr>
  </w:style>
  <w:style w:type="paragraph" w:styleId="Textpoznpodarou">
    <w:name w:val="footnote text"/>
    <w:basedOn w:val="Normln"/>
    <w:link w:val="TextpoznpodarouChar"/>
    <w:uiPriority w:val="99"/>
    <w:unhideWhenUsed/>
    <w:rsid w:val="00433964"/>
    <w:pPr>
      <w:suppressAutoHyphens w:val="0"/>
      <w:spacing w:after="0" w:line="240" w:lineRule="auto"/>
    </w:pPr>
    <w:rPr>
      <w:rFonts w:ascii="Arial" w:eastAsia="Times New Roman" w:hAnsi="Arial" w:cs="Arial"/>
      <w:color w:val="auto"/>
      <w:sz w:val="20"/>
      <w:szCs w:val="20"/>
      <w:lang w:val="de-DE" w:eastAsia="de-DE" w:bidi="ar-SA"/>
    </w:rPr>
  </w:style>
  <w:style w:type="character" w:customStyle="1" w:styleId="TextpoznpodarouChar">
    <w:name w:val="Text pozn. pod čarou Char"/>
    <w:basedOn w:val="Standardnpsmoodstavce"/>
    <w:link w:val="Textpoznpodarou"/>
    <w:uiPriority w:val="99"/>
    <w:rsid w:val="00433964"/>
    <w:rPr>
      <w:rFonts w:ascii="Arial" w:eastAsia="Times New Roman" w:hAnsi="Arial" w:cs="Arial"/>
      <w:sz w:val="20"/>
      <w:szCs w:val="20"/>
      <w:lang w:val="de-DE" w:eastAsia="de-DE"/>
    </w:rPr>
  </w:style>
  <w:style w:type="character" w:styleId="Sledovanodkaz">
    <w:name w:val="FollowedHyperlink"/>
    <w:basedOn w:val="Standardnpsmoodstavce"/>
    <w:uiPriority w:val="99"/>
    <w:semiHidden/>
    <w:unhideWhenUsed/>
    <w:rsid w:val="00A93779"/>
    <w:rPr>
      <w:color w:val="800080" w:themeColor="followedHyperlink"/>
      <w:u w:val="single"/>
    </w:rPr>
  </w:style>
  <w:style w:type="paragraph" w:styleId="Textvysvtlivek">
    <w:name w:val="endnote text"/>
    <w:basedOn w:val="Normln"/>
    <w:link w:val="TextvysvtlivekChar"/>
    <w:uiPriority w:val="99"/>
    <w:semiHidden/>
    <w:unhideWhenUsed/>
    <w:rsid w:val="0051039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10391"/>
    <w:rPr>
      <w:rFonts w:ascii="Calibri" w:eastAsia="Calibri" w:hAnsi="Calibri" w:cs="Calibri"/>
      <w:color w:val="000000"/>
      <w:sz w:val="20"/>
      <w:szCs w:val="20"/>
      <w:lang w:bidi="en-US"/>
    </w:rPr>
  </w:style>
  <w:style w:type="character" w:styleId="Odkaznavysvtlivky">
    <w:name w:val="endnote reference"/>
    <w:basedOn w:val="Standardnpsmoodstavce"/>
    <w:uiPriority w:val="99"/>
    <w:semiHidden/>
    <w:unhideWhenUsed/>
    <w:rsid w:val="00510391"/>
    <w:rPr>
      <w:vertAlign w:val="superscript"/>
    </w:rPr>
  </w:style>
  <w:style w:type="character" w:styleId="Znakapoznpodarou">
    <w:name w:val="footnote reference"/>
    <w:basedOn w:val="Standardnpsmoodstavce"/>
    <w:uiPriority w:val="99"/>
    <w:semiHidden/>
    <w:unhideWhenUsed/>
    <w:rsid w:val="00510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101">
      <w:bodyDiv w:val="1"/>
      <w:marLeft w:val="0"/>
      <w:marRight w:val="0"/>
      <w:marTop w:val="0"/>
      <w:marBottom w:val="0"/>
      <w:divBdr>
        <w:top w:val="none" w:sz="0" w:space="0" w:color="auto"/>
        <w:left w:val="none" w:sz="0" w:space="0" w:color="auto"/>
        <w:bottom w:val="none" w:sz="0" w:space="0" w:color="auto"/>
        <w:right w:val="none" w:sz="0" w:space="0" w:color="auto"/>
      </w:divBdr>
    </w:div>
    <w:div w:id="289820304">
      <w:bodyDiv w:val="1"/>
      <w:marLeft w:val="0"/>
      <w:marRight w:val="0"/>
      <w:marTop w:val="0"/>
      <w:marBottom w:val="0"/>
      <w:divBdr>
        <w:top w:val="none" w:sz="0" w:space="0" w:color="auto"/>
        <w:left w:val="none" w:sz="0" w:space="0" w:color="auto"/>
        <w:bottom w:val="none" w:sz="0" w:space="0" w:color="auto"/>
        <w:right w:val="none" w:sz="0" w:space="0" w:color="auto"/>
      </w:divBdr>
      <w:divsChild>
        <w:div w:id="1738743343">
          <w:marLeft w:val="547"/>
          <w:marRight w:val="0"/>
          <w:marTop w:val="86"/>
          <w:marBottom w:val="0"/>
          <w:divBdr>
            <w:top w:val="none" w:sz="0" w:space="0" w:color="auto"/>
            <w:left w:val="none" w:sz="0" w:space="0" w:color="auto"/>
            <w:bottom w:val="none" w:sz="0" w:space="0" w:color="auto"/>
            <w:right w:val="none" w:sz="0" w:space="0" w:color="auto"/>
          </w:divBdr>
        </w:div>
        <w:div w:id="1984845412">
          <w:marLeft w:val="547"/>
          <w:marRight w:val="0"/>
          <w:marTop w:val="86"/>
          <w:marBottom w:val="0"/>
          <w:divBdr>
            <w:top w:val="none" w:sz="0" w:space="0" w:color="auto"/>
            <w:left w:val="none" w:sz="0" w:space="0" w:color="auto"/>
            <w:bottom w:val="none" w:sz="0" w:space="0" w:color="auto"/>
            <w:right w:val="none" w:sz="0" w:space="0" w:color="auto"/>
          </w:divBdr>
        </w:div>
        <w:div w:id="193926659">
          <w:marLeft w:val="547"/>
          <w:marRight w:val="0"/>
          <w:marTop w:val="86"/>
          <w:marBottom w:val="0"/>
          <w:divBdr>
            <w:top w:val="none" w:sz="0" w:space="0" w:color="auto"/>
            <w:left w:val="none" w:sz="0" w:space="0" w:color="auto"/>
            <w:bottom w:val="none" w:sz="0" w:space="0" w:color="auto"/>
            <w:right w:val="none" w:sz="0" w:space="0" w:color="auto"/>
          </w:divBdr>
        </w:div>
      </w:divsChild>
    </w:div>
    <w:div w:id="302126438">
      <w:bodyDiv w:val="1"/>
      <w:marLeft w:val="0"/>
      <w:marRight w:val="0"/>
      <w:marTop w:val="0"/>
      <w:marBottom w:val="0"/>
      <w:divBdr>
        <w:top w:val="none" w:sz="0" w:space="0" w:color="auto"/>
        <w:left w:val="none" w:sz="0" w:space="0" w:color="auto"/>
        <w:bottom w:val="none" w:sz="0" w:space="0" w:color="auto"/>
        <w:right w:val="none" w:sz="0" w:space="0" w:color="auto"/>
      </w:divBdr>
    </w:div>
    <w:div w:id="752362194">
      <w:bodyDiv w:val="1"/>
      <w:marLeft w:val="0"/>
      <w:marRight w:val="0"/>
      <w:marTop w:val="0"/>
      <w:marBottom w:val="0"/>
      <w:divBdr>
        <w:top w:val="none" w:sz="0" w:space="0" w:color="auto"/>
        <w:left w:val="none" w:sz="0" w:space="0" w:color="auto"/>
        <w:bottom w:val="none" w:sz="0" w:space="0" w:color="auto"/>
        <w:right w:val="none" w:sz="0" w:space="0" w:color="auto"/>
      </w:divBdr>
    </w:div>
    <w:div w:id="831722150">
      <w:bodyDiv w:val="1"/>
      <w:marLeft w:val="0"/>
      <w:marRight w:val="0"/>
      <w:marTop w:val="0"/>
      <w:marBottom w:val="0"/>
      <w:divBdr>
        <w:top w:val="none" w:sz="0" w:space="0" w:color="auto"/>
        <w:left w:val="none" w:sz="0" w:space="0" w:color="auto"/>
        <w:bottom w:val="none" w:sz="0" w:space="0" w:color="auto"/>
        <w:right w:val="none" w:sz="0" w:space="0" w:color="auto"/>
      </w:divBdr>
    </w:div>
    <w:div w:id="893859160">
      <w:bodyDiv w:val="1"/>
      <w:marLeft w:val="0"/>
      <w:marRight w:val="0"/>
      <w:marTop w:val="0"/>
      <w:marBottom w:val="0"/>
      <w:divBdr>
        <w:top w:val="none" w:sz="0" w:space="0" w:color="auto"/>
        <w:left w:val="none" w:sz="0" w:space="0" w:color="auto"/>
        <w:bottom w:val="none" w:sz="0" w:space="0" w:color="auto"/>
        <w:right w:val="none" w:sz="0" w:space="0" w:color="auto"/>
      </w:divBdr>
    </w:div>
    <w:div w:id="1060518501">
      <w:bodyDiv w:val="1"/>
      <w:marLeft w:val="0"/>
      <w:marRight w:val="0"/>
      <w:marTop w:val="0"/>
      <w:marBottom w:val="0"/>
      <w:divBdr>
        <w:top w:val="none" w:sz="0" w:space="0" w:color="auto"/>
        <w:left w:val="none" w:sz="0" w:space="0" w:color="auto"/>
        <w:bottom w:val="none" w:sz="0" w:space="0" w:color="auto"/>
        <w:right w:val="none" w:sz="0" w:space="0" w:color="auto"/>
      </w:divBdr>
    </w:div>
    <w:div w:id="1151361247">
      <w:bodyDiv w:val="1"/>
      <w:marLeft w:val="0"/>
      <w:marRight w:val="0"/>
      <w:marTop w:val="0"/>
      <w:marBottom w:val="0"/>
      <w:divBdr>
        <w:top w:val="none" w:sz="0" w:space="0" w:color="auto"/>
        <w:left w:val="none" w:sz="0" w:space="0" w:color="auto"/>
        <w:bottom w:val="none" w:sz="0" w:space="0" w:color="auto"/>
        <w:right w:val="none" w:sz="0" w:space="0" w:color="auto"/>
      </w:divBdr>
      <w:divsChild>
        <w:div w:id="1888645988">
          <w:marLeft w:val="1166"/>
          <w:marRight w:val="0"/>
          <w:marTop w:val="115"/>
          <w:marBottom w:val="0"/>
          <w:divBdr>
            <w:top w:val="none" w:sz="0" w:space="0" w:color="auto"/>
            <w:left w:val="none" w:sz="0" w:space="0" w:color="auto"/>
            <w:bottom w:val="none" w:sz="0" w:space="0" w:color="auto"/>
            <w:right w:val="none" w:sz="0" w:space="0" w:color="auto"/>
          </w:divBdr>
        </w:div>
        <w:div w:id="976691888">
          <w:marLeft w:val="1166"/>
          <w:marRight w:val="0"/>
          <w:marTop w:val="115"/>
          <w:marBottom w:val="0"/>
          <w:divBdr>
            <w:top w:val="none" w:sz="0" w:space="0" w:color="auto"/>
            <w:left w:val="none" w:sz="0" w:space="0" w:color="auto"/>
            <w:bottom w:val="none" w:sz="0" w:space="0" w:color="auto"/>
            <w:right w:val="none" w:sz="0" w:space="0" w:color="auto"/>
          </w:divBdr>
        </w:div>
      </w:divsChild>
    </w:div>
    <w:div w:id="1173765006">
      <w:bodyDiv w:val="1"/>
      <w:marLeft w:val="0"/>
      <w:marRight w:val="0"/>
      <w:marTop w:val="0"/>
      <w:marBottom w:val="0"/>
      <w:divBdr>
        <w:top w:val="none" w:sz="0" w:space="0" w:color="auto"/>
        <w:left w:val="none" w:sz="0" w:space="0" w:color="auto"/>
        <w:bottom w:val="none" w:sz="0" w:space="0" w:color="auto"/>
        <w:right w:val="none" w:sz="0" w:space="0" w:color="auto"/>
      </w:divBdr>
    </w:div>
    <w:div w:id="1298074863">
      <w:bodyDiv w:val="1"/>
      <w:marLeft w:val="0"/>
      <w:marRight w:val="0"/>
      <w:marTop w:val="0"/>
      <w:marBottom w:val="0"/>
      <w:divBdr>
        <w:top w:val="none" w:sz="0" w:space="0" w:color="auto"/>
        <w:left w:val="none" w:sz="0" w:space="0" w:color="auto"/>
        <w:bottom w:val="none" w:sz="0" w:space="0" w:color="auto"/>
        <w:right w:val="none" w:sz="0" w:space="0" w:color="auto"/>
      </w:divBdr>
    </w:div>
    <w:div w:id="1404136822">
      <w:bodyDiv w:val="1"/>
      <w:marLeft w:val="0"/>
      <w:marRight w:val="0"/>
      <w:marTop w:val="0"/>
      <w:marBottom w:val="0"/>
      <w:divBdr>
        <w:top w:val="none" w:sz="0" w:space="0" w:color="auto"/>
        <w:left w:val="none" w:sz="0" w:space="0" w:color="auto"/>
        <w:bottom w:val="none" w:sz="0" w:space="0" w:color="auto"/>
        <w:right w:val="none" w:sz="0" w:space="0" w:color="auto"/>
      </w:divBdr>
    </w:div>
    <w:div w:id="1616252346">
      <w:bodyDiv w:val="1"/>
      <w:marLeft w:val="0"/>
      <w:marRight w:val="0"/>
      <w:marTop w:val="0"/>
      <w:marBottom w:val="0"/>
      <w:divBdr>
        <w:top w:val="none" w:sz="0" w:space="0" w:color="auto"/>
        <w:left w:val="none" w:sz="0" w:space="0" w:color="auto"/>
        <w:bottom w:val="none" w:sz="0" w:space="0" w:color="auto"/>
        <w:right w:val="none" w:sz="0" w:space="0" w:color="auto"/>
      </w:divBdr>
    </w:div>
    <w:div w:id="1672490427">
      <w:bodyDiv w:val="1"/>
      <w:marLeft w:val="0"/>
      <w:marRight w:val="0"/>
      <w:marTop w:val="0"/>
      <w:marBottom w:val="0"/>
      <w:divBdr>
        <w:top w:val="none" w:sz="0" w:space="0" w:color="auto"/>
        <w:left w:val="none" w:sz="0" w:space="0" w:color="auto"/>
        <w:bottom w:val="none" w:sz="0" w:space="0" w:color="auto"/>
        <w:right w:val="none" w:sz="0" w:space="0" w:color="auto"/>
      </w:divBdr>
    </w:div>
    <w:div w:id="209862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TX6JL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ab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t.ly/1miUG7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bit.ly/1k3otBC" TargetMode="External"/><Relationship Id="rId10" Type="http://schemas.openxmlformats.org/officeDocument/2006/relationships/hyperlink" Target="mailto:puffett@iabeurope.eu"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bit.ly/1jUVLfy"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DE97-8AA7-4235-BA03-3F64BBD3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6738</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i-media pr ltd</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Fennah</dc:creator>
  <cp:lastModifiedBy>Pavel </cp:lastModifiedBy>
  <cp:revision>2</cp:revision>
  <dcterms:created xsi:type="dcterms:W3CDTF">2014-07-28T11:05:00Z</dcterms:created>
  <dcterms:modified xsi:type="dcterms:W3CDTF">2014-07-28T11:05:00Z</dcterms:modified>
</cp:coreProperties>
</file>