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3F544" w14:textId="77777777" w:rsidR="001A2204" w:rsidRPr="001A2204" w:rsidRDefault="001A2204" w:rsidP="001A2204">
      <w:pPr>
        <w:jc w:val="right"/>
        <w:rPr>
          <w:rFonts w:ascii="Helvetica" w:hAnsi="Helvetica"/>
          <w:i/>
          <w:sz w:val="21"/>
        </w:rPr>
      </w:pPr>
      <w:r w:rsidRPr="001A2204">
        <w:rPr>
          <w:rFonts w:ascii="Helvetica" w:hAnsi="Helvetica"/>
          <w:i/>
          <w:sz w:val="21"/>
        </w:rPr>
        <w:t>Tisková zpráva</w:t>
      </w:r>
    </w:p>
    <w:p w14:paraId="22150673" w14:textId="77777777" w:rsidR="001A2204" w:rsidRPr="001A2204" w:rsidRDefault="001A2204" w:rsidP="001A2204">
      <w:pPr>
        <w:jc w:val="both"/>
        <w:rPr>
          <w:rFonts w:ascii="Helvetica" w:hAnsi="Helvetica"/>
        </w:rPr>
      </w:pPr>
    </w:p>
    <w:p w14:paraId="3AD30FCF" w14:textId="1382B401" w:rsidR="00926125" w:rsidRDefault="001A2204" w:rsidP="001A2204">
      <w:pPr>
        <w:jc w:val="both"/>
        <w:rPr>
          <w:rFonts w:ascii="Helvetica" w:hAnsi="Helvetica"/>
          <w:b/>
          <w:sz w:val="32"/>
        </w:rPr>
      </w:pPr>
      <w:r w:rsidRPr="001A2204">
        <w:rPr>
          <w:rFonts w:ascii="Helvetica" w:hAnsi="Helvetica"/>
          <w:b/>
          <w:sz w:val="32"/>
        </w:rPr>
        <w:t>Rok 2020 ve znamení online života přinesl rostoucí výdaje do reklamy: 40 miliard Kč</w:t>
      </w:r>
    </w:p>
    <w:p w14:paraId="18404123" w14:textId="77777777" w:rsidR="00FC3656" w:rsidRPr="001A2204" w:rsidRDefault="00FC3656" w:rsidP="001A2204">
      <w:pPr>
        <w:jc w:val="both"/>
        <w:rPr>
          <w:rFonts w:ascii="Helvetica" w:hAnsi="Helvetica"/>
        </w:rPr>
      </w:pPr>
    </w:p>
    <w:p w14:paraId="674E7316" w14:textId="3B6C3BAD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i/>
        </w:rPr>
        <w:t>Praha 1</w:t>
      </w:r>
      <w:r w:rsidR="00862C36">
        <w:rPr>
          <w:rFonts w:ascii="Helvetica" w:hAnsi="Helvetica"/>
          <w:i/>
        </w:rPr>
        <w:t>5</w:t>
      </w:r>
      <w:r w:rsidRPr="001A2204">
        <w:rPr>
          <w:rFonts w:ascii="Helvetica" w:hAnsi="Helvetica"/>
          <w:i/>
        </w:rPr>
        <w:t>. března 2021 –</w:t>
      </w:r>
      <w:r w:rsidRPr="001A2204">
        <w:rPr>
          <w:rFonts w:ascii="Helvetica" w:hAnsi="Helvetica"/>
        </w:rPr>
        <w:t xml:space="preserve"> </w:t>
      </w:r>
      <w:r w:rsidRPr="001A2204">
        <w:rPr>
          <w:rFonts w:ascii="Helvetica" w:hAnsi="Helvetica"/>
          <w:b/>
        </w:rPr>
        <w:t xml:space="preserve">S přesunem života i práce do online prostředí rostl objem výdajů do internetové inzerce, který dosáhl v roce 2020 téměř 40 miliard korun. Oproti roku 2019 jde o 15% nárůst, na kterém se v absolutních hodnotách nejvíce podílela display reklama (+12 %) a reklama ve vyhledávání (+25 %).  Z pohledu způsobu obchodování inzertního prostoru rostl programatický nákup display reklamy o 8 %. Navzdory stávající situaci s pandemií Covid-19 zůstávají prognózy vývoje v příštím roce optimistické. Účastníci průzkumu předpokládají, že online reklama poroste v roce 2021 o 8 %. V celkových reklamních výdajích v rámci všech mediatypů připadá na online reklamu podíl více než 30 %, čímž si od roku 2016 drží druhé místo za televizní reklamou. Údaje pocházejí z průzkumu inzertního výkonu internetové reklamy, který pro SPIR realizuje agentura </w:t>
      </w:r>
      <w:proofErr w:type="spellStart"/>
      <w:r w:rsidRPr="001A2204">
        <w:rPr>
          <w:rFonts w:ascii="Helvetica" w:hAnsi="Helvetica"/>
          <w:b/>
        </w:rPr>
        <w:t>Median</w:t>
      </w:r>
      <w:proofErr w:type="spellEnd"/>
      <w:r w:rsidRPr="001A2204">
        <w:rPr>
          <w:rFonts w:ascii="Helvetica" w:hAnsi="Helvetica"/>
          <w:b/>
        </w:rPr>
        <w:t xml:space="preserve">. Údaje za ostatní </w:t>
      </w:r>
      <w:proofErr w:type="spellStart"/>
      <w:r w:rsidRPr="001A2204">
        <w:rPr>
          <w:rFonts w:ascii="Helvetica" w:hAnsi="Helvetica"/>
          <w:b/>
        </w:rPr>
        <w:t>mediatypy</w:t>
      </w:r>
      <w:proofErr w:type="spellEnd"/>
      <w:r w:rsidRPr="001A2204">
        <w:rPr>
          <w:rFonts w:ascii="Helvetica" w:hAnsi="Helvetica"/>
          <w:b/>
        </w:rPr>
        <w:t xml:space="preserve"> poskytla společnost </w:t>
      </w:r>
      <w:proofErr w:type="spellStart"/>
      <w:r w:rsidRPr="001A2204">
        <w:rPr>
          <w:rFonts w:ascii="Helvetica" w:hAnsi="Helvetica"/>
          <w:b/>
        </w:rPr>
        <w:t>Nielsen-Admosphere</w:t>
      </w:r>
      <w:proofErr w:type="spellEnd"/>
      <w:r w:rsidRPr="001A2204">
        <w:rPr>
          <w:rFonts w:ascii="Helvetica" w:hAnsi="Helvetica"/>
          <w:b/>
        </w:rPr>
        <w:t>.</w:t>
      </w:r>
      <w:r w:rsidRPr="001A2204">
        <w:rPr>
          <w:rFonts w:ascii="Helvetica" w:hAnsi="Helvetica"/>
        </w:rPr>
        <w:t xml:space="preserve"> </w:t>
      </w:r>
    </w:p>
    <w:p w14:paraId="47A1F30D" w14:textId="77777777" w:rsidR="001A2204" w:rsidRPr="001A2204" w:rsidRDefault="001A2204" w:rsidP="001A2204">
      <w:pPr>
        <w:pStyle w:val="Nadpis1"/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Vývoj celkových výdajů do internetové inzerce</w:t>
      </w:r>
    </w:p>
    <w:p w14:paraId="2AF60E51" w14:textId="700F3C21" w:rsidR="001A2204" w:rsidRPr="001A2204" w:rsidRDefault="001A2204" w:rsidP="00FC3656">
      <w:pPr>
        <w:jc w:val="both"/>
        <w:rPr>
          <w:rFonts w:ascii="Helvetica" w:hAnsi="Helvetica"/>
          <w:i/>
          <w:iCs/>
        </w:rPr>
      </w:pPr>
      <w:r w:rsidRPr="001A2204">
        <w:rPr>
          <w:rFonts w:ascii="Helvetica" w:hAnsi="Helvetica"/>
          <w:b/>
        </w:rPr>
        <w:t>Zadavatelé v roce 2020 využili internetovou reklamu v objemu 39,5 miliard korun</w:t>
      </w:r>
      <w:r w:rsidRPr="001A2204">
        <w:rPr>
          <w:rStyle w:val="Znakapoznpodarou"/>
          <w:rFonts w:ascii="Helvetica" w:hAnsi="Helvetica"/>
          <w:b/>
        </w:rPr>
        <w:footnoteReference w:id="1"/>
      </w:r>
      <w:r w:rsidRPr="001A2204">
        <w:rPr>
          <w:rFonts w:ascii="Helvetica" w:hAnsi="Helvetica"/>
          <w:b/>
        </w:rPr>
        <w:t xml:space="preserve">. Jedná se o dosud nejvyšší investice, které představují 15% nárůst oproti předchozímu roku </w:t>
      </w:r>
      <w:r w:rsidRPr="001A2204">
        <w:rPr>
          <w:rFonts w:ascii="Helvetica" w:hAnsi="Helvetica"/>
        </w:rPr>
        <w:t xml:space="preserve">a potvrzují stále rostoucí trend ve využívání online forem inzerce. Pro letošní rok je odhadován 8% růst, což by znamenalo investice celkem 42,5 mld. Kč do internetové inzerce v roce 2021. </w:t>
      </w:r>
      <w:r w:rsidRPr="001A2204">
        <w:rPr>
          <w:rFonts w:ascii="Helvetica" w:hAnsi="Helvetica"/>
          <w:i/>
          <w:iCs/>
        </w:rPr>
        <w:t>„</w:t>
      </w:r>
      <w:r w:rsidR="00FC3656" w:rsidRPr="00FC3656">
        <w:rPr>
          <w:rFonts w:ascii="Helvetica" w:hAnsi="Helvetica"/>
          <w:i/>
          <w:iCs/>
        </w:rPr>
        <w:t>Uplynulý rok byl výjimečný v mnoha ohledech, ale za zásadní považuji přesun většiny aktivit do online prostředí v důsledku nejrůznějších protiepidemických opatření. Tomu odpovídá i nárůst investic do reklamy, protože zadavatelé se logicky snaží zasáhnout zákazníka tam, kde tráví nejvíce času. Výzkum internetových inzertních výkonů kombinuje čisté ceny s ceníkovými, proto si troufám odhadnout, že výkon online inzerce je v porovnání se skutečným výkonem ostatních mediatypů</w:t>
      </w:r>
      <w:r w:rsidR="00FC3656">
        <w:rPr>
          <w:rFonts w:ascii="Helvetica" w:hAnsi="Helvetica"/>
          <w:i/>
          <w:iCs/>
        </w:rPr>
        <w:t xml:space="preserve">, </w:t>
      </w:r>
      <w:r w:rsidR="00FC3656" w:rsidRPr="00FC3656">
        <w:rPr>
          <w:rFonts w:ascii="Helvetica" w:hAnsi="Helvetica"/>
          <w:i/>
          <w:iCs/>
        </w:rPr>
        <w:t xml:space="preserve">ve skutečnosti mnohem silnější, než na první pohled ze srovnání vyplývá. Internet svým objemem atakuje reálné investice do televizní reklamy. Důvodem je, že ostatní </w:t>
      </w:r>
      <w:proofErr w:type="spellStart"/>
      <w:r w:rsidR="00FC3656" w:rsidRPr="00FC3656">
        <w:rPr>
          <w:rFonts w:ascii="Helvetica" w:hAnsi="Helvetica"/>
          <w:i/>
          <w:iCs/>
        </w:rPr>
        <w:t>mediatypy</w:t>
      </w:r>
      <w:proofErr w:type="spellEnd"/>
      <w:r w:rsidR="00FC3656" w:rsidRPr="00FC3656">
        <w:rPr>
          <w:rFonts w:ascii="Helvetica" w:hAnsi="Helvetica"/>
          <w:i/>
          <w:iCs/>
        </w:rPr>
        <w:t xml:space="preserve"> pracují výhradně s ceníkovými cenami</w:t>
      </w:r>
      <w:r w:rsidR="00FC3656">
        <w:rPr>
          <w:rFonts w:ascii="Helvetica" w:hAnsi="Helvetica"/>
          <w:i/>
          <w:iCs/>
        </w:rPr>
        <w:t>,</w:t>
      </w:r>
      <w:r w:rsidRPr="007C2A51">
        <w:rPr>
          <w:rFonts w:ascii="Helvetica" w:hAnsi="Helvetica"/>
          <w:i/>
          <w:iCs/>
        </w:rPr>
        <w:t>“</w:t>
      </w:r>
      <w:r w:rsidRPr="007C2A51">
        <w:rPr>
          <w:rFonts w:ascii="Helvetica" w:hAnsi="Helvetica"/>
        </w:rPr>
        <w:t xml:space="preserve"> </w:t>
      </w:r>
      <w:r w:rsidRPr="001A2204">
        <w:rPr>
          <w:rFonts w:ascii="Helvetica" w:hAnsi="Helvetica"/>
        </w:rPr>
        <w:t>komentoval výsledky výzkumu Michal Hanák, předseda výkonné rady SPIR.</w:t>
      </w:r>
    </w:p>
    <w:p w14:paraId="45714554" w14:textId="77777777" w:rsidR="00926125" w:rsidRDefault="00926125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noProof/>
          <w:sz w:val="20"/>
          <w:lang w:eastAsia="cs-CZ"/>
        </w:rPr>
        <w:lastRenderedPageBreak/>
        <w:drawing>
          <wp:inline distT="0" distB="0" distL="0" distR="0" wp14:anchorId="381FB916" wp14:editId="41C0F4DE">
            <wp:extent cx="4797042" cy="2880000"/>
            <wp:effectExtent l="0" t="0" r="3810" b="31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42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E5395" w14:textId="227EB261" w:rsidR="001A2204" w:rsidRPr="001A2204" w:rsidRDefault="001A2204" w:rsidP="0000500F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i/>
        </w:rPr>
        <w:t>graf 1: vývoj celkových výdajů do internetové inzerce v roce 2008 až 2020 a 2021* v mld. Kč</w:t>
      </w:r>
    </w:p>
    <w:p w14:paraId="6979459B" w14:textId="77777777" w:rsidR="001A2204" w:rsidRPr="001A2204" w:rsidRDefault="001A2204" w:rsidP="001A2204">
      <w:pPr>
        <w:pStyle w:val="Nadpis1"/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Podíl jednotlivých forem internetové reklamy v roce 2020</w:t>
      </w:r>
    </w:p>
    <w:p w14:paraId="6C703A46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b/>
        </w:rPr>
        <w:t>Největší část inzertních výdajů připadá na celoplošnou (display) reklamu (27,0 mld. Kč v ceníkových cenách).</w:t>
      </w:r>
      <w:r w:rsidRPr="001A2204">
        <w:rPr>
          <w:rFonts w:ascii="Helvetica" w:hAnsi="Helvetica"/>
        </w:rPr>
        <w:t xml:space="preserve"> Do display reklamy je započítána i reklama v obsahových sítích (zejména sítě Seznam </w:t>
      </w:r>
      <w:proofErr w:type="spellStart"/>
      <w:r w:rsidRPr="001A2204">
        <w:rPr>
          <w:rFonts w:ascii="Helvetica" w:hAnsi="Helvetica"/>
        </w:rPr>
        <w:t>Sklik</w:t>
      </w:r>
      <w:proofErr w:type="spellEnd"/>
      <w:r w:rsidRPr="001A2204">
        <w:rPr>
          <w:rFonts w:ascii="Helvetica" w:hAnsi="Helvetica"/>
        </w:rPr>
        <w:t xml:space="preserve">, Google </w:t>
      </w:r>
      <w:proofErr w:type="spellStart"/>
      <w:r w:rsidRPr="001A2204">
        <w:rPr>
          <w:rFonts w:ascii="Helvetica" w:hAnsi="Helvetica"/>
        </w:rPr>
        <w:t>Ads</w:t>
      </w:r>
      <w:proofErr w:type="spellEnd"/>
      <w:r w:rsidRPr="001A2204">
        <w:rPr>
          <w:rFonts w:ascii="Helvetica" w:hAnsi="Helvetica"/>
        </w:rPr>
        <w:t xml:space="preserve"> a Facebook), RTB formou obchodovaná reklama a nativní reklama.  </w:t>
      </w:r>
      <w:r w:rsidRPr="001A2204">
        <w:rPr>
          <w:rFonts w:ascii="Helvetica" w:hAnsi="Helvetica"/>
          <w:b/>
        </w:rPr>
        <w:t>Druhou nejpoužívanější formou reklamy je reklama ve vyhledávání, do které investovali inzerenti 11,3 mld. Kč v reálných cenách.</w:t>
      </w:r>
      <w:r w:rsidRPr="001A2204">
        <w:rPr>
          <w:rFonts w:ascii="Helvetica" w:hAnsi="Helvetica"/>
        </w:rPr>
        <w:t xml:space="preserve"> Pro katalogové zápisy a řádkovou inzerci média deklarovala tržby 1,2 mld. Kč v ceníkových cenách.</w:t>
      </w:r>
    </w:p>
    <w:p w14:paraId="28789002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 xml:space="preserve">    </w:t>
      </w:r>
    </w:p>
    <w:p w14:paraId="34396AE1" w14:textId="108E70CC" w:rsidR="001A2204" w:rsidRPr="001A2204" w:rsidRDefault="001A2204" w:rsidP="001A2204">
      <w:pPr>
        <w:jc w:val="both"/>
        <w:rPr>
          <w:rFonts w:ascii="Helvetica" w:hAnsi="Helvetica"/>
          <w:sz w:val="20"/>
        </w:rPr>
      </w:pPr>
      <w:r w:rsidRPr="001A2204">
        <w:rPr>
          <w:rFonts w:ascii="Helvetica" w:hAnsi="Helvetica"/>
          <w:noProof/>
          <w:sz w:val="20"/>
          <w:lang w:eastAsia="cs-CZ"/>
        </w:rPr>
        <w:drawing>
          <wp:inline distT="0" distB="0" distL="0" distR="0" wp14:anchorId="3C147A31" wp14:editId="78A0715B">
            <wp:extent cx="4303069" cy="2880000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9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22AC7" w14:textId="5A77A17D" w:rsidR="001A2204" w:rsidRPr="00926125" w:rsidRDefault="001A2204" w:rsidP="001A2204">
      <w:pPr>
        <w:jc w:val="both"/>
        <w:rPr>
          <w:rFonts w:ascii="Helvetica" w:hAnsi="Helvetica"/>
          <w:sz w:val="20"/>
        </w:rPr>
      </w:pPr>
      <w:r w:rsidRPr="001A2204">
        <w:rPr>
          <w:rFonts w:ascii="Helvetica" w:hAnsi="Helvetica"/>
          <w:i/>
        </w:rPr>
        <w:t>graf 2: výkon jednotlivých forem internetové reklamy v roce 2020 v mil. Kč</w:t>
      </w:r>
    </w:p>
    <w:p w14:paraId="0A8F3484" w14:textId="459F1F7C" w:rsidR="001A2204" w:rsidRPr="00926125" w:rsidRDefault="001A2204" w:rsidP="001A2204">
      <w:pPr>
        <w:jc w:val="both"/>
        <w:rPr>
          <w:rFonts w:ascii="Helvetica" w:hAnsi="Helvetica"/>
          <w:i/>
          <w:iCs/>
          <w:szCs w:val="24"/>
        </w:rPr>
      </w:pPr>
      <w:r w:rsidRPr="001A2204">
        <w:rPr>
          <w:rFonts w:ascii="Helvetica" w:hAnsi="Helvetica"/>
          <w:b/>
          <w:szCs w:val="24"/>
        </w:rPr>
        <w:lastRenderedPageBreak/>
        <w:t xml:space="preserve">Z celkové display reklamy tvořila videoreklama 29% podíl (7,7 mld. Kč), </w:t>
      </w:r>
      <w:r w:rsidRPr="001A2204">
        <w:rPr>
          <w:rFonts w:ascii="Helvetica" w:hAnsi="Helvetica"/>
          <w:szCs w:val="24"/>
        </w:rPr>
        <w:t>meziročně vzrostla o 11 % a pro letošní rok je u ní odhadován 9% růst</w:t>
      </w:r>
      <w:r w:rsidRPr="001A2204">
        <w:rPr>
          <w:rFonts w:ascii="Helvetica" w:hAnsi="Helvetica"/>
          <w:b/>
          <w:szCs w:val="24"/>
        </w:rPr>
        <w:t>. Nativní reklama tvořila 12% podíl (3,11 mld. Kč),</w:t>
      </w:r>
      <w:r w:rsidRPr="001A2204">
        <w:rPr>
          <w:rFonts w:ascii="Helvetica" w:hAnsi="Helvetica"/>
          <w:szCs w:val="24"/>
        </w:rPr>
        <w:t xml:space="preserve"> meziročně vzrostla o 16 % a letos je u ní odhadován 9% růst. </w:t>
      </w:r>
      <w:r w:rsidR="0000500F">
        <w:rPr>
          <w:rFonts w:ascii="Helvetica" w:hAnsi="Helvetica"/>
          <w:szCs w:val="24"/>
        </w:rPr>
        <w:br/>
      </w:r>
    </w:p>
    <w:p w14:paraId="32DE6FD7" w14:textId="60344DB9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noProof/>
          <w:lang w:eastAsia="cs-CZ"/>
        </w:rPr>
        <w:drawing>
          <wp:inline distT="0" distB="0" distL="0" distR="0" wp14:anchorId="3E299BCE" wp14:editId="602D5191">
            <wp:extent cx="4188329" cy="2880000"/>
            <wp:effectExtent l="0" t="0" r="3175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329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0464C" w14:textId="77777777" w:rsidR="001A2204" w:rsidRPr="001A2204" w:rsidRDefault="001A2204" w:rsidP="001A2204">
      <w:pPr>
        <w:jc w:val="both"/>
        <w:rPr>
          <w:rFonts w:ascii="Helvetica" w:hAnsi="Helvetica"/>
          <w:b/>
        </w:rPr>
      </w:pPr>
      <w:r w:rsidRPr="001A2204">
        <w:rPr>
          <w:rFonts w:ascii="Helvetica" w:hAnsi="Helvetica"/>
          <w:i/>
        </w:rPr>
        <w:t>graf 3: rozdělení display reklamy v roce 2020</w:t>
      </w:r>
    </w:p>
    <w:p w14:paraId="3105A528" w14:textId="77777777" w:rsidR="001A2204" w:rsidRPr="001A2204" w:rsidRDefault="001A2204" w:rsidP="001A2204">
      <w:pPr>
        <w:jc w:val="both"/>
        <w:rPr>
          <w:rFonts w:ascii="Helvetica" w:hAnsi="Helvetica"/>
        </w:rPr>
      </w:pPr>
    </w:p>
    <w:p w14:paraId="409DB750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b/>
        </w:rPr>
        <w:t xml:space="preserve">Podíl mobilní reklamy </w:t>
      </w:r>
      <w:r w:rsidRPr="001A2204">
        <w:rPr>
          <w:rFonts w:ascii="Helvetica" w:hAnsi="Helvetica"/>
        </w:rPr>
        <w:t xml:space="preserve">(reklamy na mobilních zařízeních a reklamy cílené na mobilní zařízení ve vyhledávání a obsahových sítích) </w:t>
      </w:r>
      <w:r w:rsidRPr="001A2204">
        <w:rPr>
          <w:rFonts w:ascii="Helvetica" w:hAnsi="Helvetica"/>
          <w:b/>
        </w:rPr>
        <w:t xml:space="preserve">z celkové display reklamy byl 36 % (10,1 mld. Kč), meziročně vzrostla o 22 % </w:t>
      </w:r>
      <w:r w:rsidRPr="001A2204">
        <w:rPr>
          <w:rFonts w:ascii="Helvetica" w:hAnsi="Helvetica"/>
          <w:szCs w:val="24"/>
        </w:rPr>
        <w:t>a pro letošní rok je u ní odhadován 10% růst</w:t>
      </w:r>
      <w:r w:rsidRPr="001A2204">
        <w:rPr>
          <w:rFonts w:ascii="Helvetica" w:hAnsi="Helvetica"/>
          <w:b/>
        </w:rPr>
        <w:t>.</w:t>
      </w:r>
      <w:r w:rsidRPr="001A2204">
        <w:rPr>
          <w:rFonts w:ascii="Helvetica" w:hAnsi="Helvetica"/>
        </w:rPr>
        <w:t xml:space="preserve"> V průzkumu jsme letos též dotazovali objem reklamy na sociálních sítích a výsledek potvrzuje expertní odhad ve výši 4,5 mld. Kč.</w:t>
      </w:r>
    </w:p>
    <w:p w14:paraId="7D8E5259" w14:textId="77777777" w:rsidR="001A2204" w:rsidRPr="001A2204" w:rsidRDefault="001A2204" w:rsidP="001A2204">
      <w:pPr>
        <w:jc w:val="both"/>
        <w:rPr>
          <w:rFonts w:ascii="Helvetica" w:hAnsi="Helvetica"/>
          <w:b/>
        </w:rPr>
      </w:pPr>
    </w:p>
    <w:p w14:paraId="57FA1BD0" w14:textId="2E8B9974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b/>
        </w:rPr>
        <w:t xml:space="preserve">Programaticky obchodovaná reklama, která se týká prostoru v reklamních obsahových sítích a RTB způsobu prodeje, dohromady tvořila 62% podíl z celé display reklamy (16,9 mld. Kč v ceníkových cenách) </w:t>
      </w:r>
      <w:r w:rsidRPr="001A2204">
        <w:rPr>
          <w:rFonts w:ascii="Helvetica" w:hAnsi="Helvetica"/>
        </w:rPr>
        <w:t>a meziročně v</w:t>
      </w:r>
      <w:r w:rsidR="007C2A51">
        <w:rPr>
          <w:rFonts w:ascii="Helvetica" w:hAnsi="Helvetica"/>
        </w:rPr>
        <w:t>z</w:t>
      </w:r>
      <w:r w:rsidRPr="001A2204">
        <w:rPr>
          <w:rFonts w:ascii="Helvetica" w:hAnsi="Helvetica"/>
        </w:rPr>
        <w:t>rostla o 8 %. Odhad pro letošní rok je růst o 10 %.</w:t>
      </w:r>
    </w:p>
    <w:p w14:paraId="3109E197" w14:textId="77777777" w:rsidR="001A2204" w:rsidRPr="001A2204" w:rsidRDefault="001A2204" w:rsidP="001A2204">
      <w:pPr>
        <w:jc w:val="both"/>
        <w:rPr>
          <w:rFonts w:ascii="Helvetica" w:hAnsi="Helvetica"/>
        </w:rPr>
      </w:pPr>
    </w:p>
    <w:p w14:paraId="63202E54" w14:textId="1E324BC2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noProof/>
          <w:lang w:eastAsia="cs-CZ"/>
        </w:rPr>
        <w:lastRenderedPageBreak/>
        <w:drawing>
          <wp:inline distT="0" distB="0" distL="0" distR="0" wp14:anchorId="239D3C12" wp14:editId="62165155">
            <wp:extent cx="4201641" cy="2880000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4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E2980" w14:textId="77777777" w:rsidR="001A2204" w:rsidRPr="001A2204" w:rsidRDefault="001A2204" w:rsidP="001A2204">
      <w:pPr>
        <w:jc w:val="both"/>
        <w:rPr>
          <w:rFonts w:ascii="Helvetica" w:hAnsi="Helvetica"/>
          <w:i/>
        </w:rPr>
      </w:pPr>
    </w:p>
    <w:p w14:paraId="22AAFD4D" w14:textId="77777777" w:rsidR="001A2204" w:rsidRPr="001A2204" w:rsidRDefault="001A2204" w:rsidP="001A2204">
      <w:pPr>
        <w:jc w:val="both"/>
        <w:rPr>
          <w:rFonts w:ascii="Helvetica" w:hAnsi="Helvetica"/>
          <w:b/>
          <w:i/>
        </w:rPr>
      </w:pPr>
      <w:r w:rsidRPr="001A2204">
        <w:rPr>
          <w:rFonts w:ascii="Helvetica" w:hAnsi="Helvetica"/>
          <w:i/>
        </w:rPr>
        <w:t>graf 4: rozdělení display reklamy podle formy nákupu v roce 2020</w:t>
      </w:r>
    </w:p>
    <w:p w14:paraId="14C438BC" w14:textId="77777777" w:rsidR="001A2204" w:rsidRPr="001A2204" w:rsidRDefault="001A2204" w:rsidP="001A2204">
      <w:pPr>
        <w:pStyle w:val="Nadpis1"/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Výkon jednotlivých forem internetové reklamy</w:t>
      </w:r>
    </w:p>
    <w:p w14:paraId="46C13BE5" w14:textId="77777777" w:rsidR="001A2204" w:rsidRPr="001A2204" w:rsidRDefault="001A2204" w:rsidP="001A2204">
      <w:pPr>
        <w:jc w:val="both"/>
        <w:rPr>
          <w:rFonts w:ascii="Helvetica" w:hAnsi="Helvetica"/>
          <w:noProof/>
          <w:sz w:val="20"/>
        </w:rPr>
      </w:pPr>
      <w:r w:rsidRPr="001A2204">
        <w:rPr>
          <w:rFonts w:ascii="Helvetica" w:hAnsi="Helvetica"/>
          <w:b/>
        </w:rPr>
        <w:t>Dlouhodobý růst je jasně patrný u display reklamy a reklamy ve vyhledávání.</w:t>
      </w:r>
      <w:r w:rsidRPr="001A2204">
        <w:rPr>
          <w:rFonts w:ascii="Helvetica" w:hAnsi="Helvetica"/>
        </w:rPr>
        <w:t xml:space="preserve"> U display reklamy rostou všechny její části, nejvíce ale část mobilní display reklamy, což je logický důsledek rostoucí penetrace mobilních zařízení a aktivity jejich uživatelů.</w:t>
      </w:r>
    </w:p>
    <w:p w14:paraId="7E23917C" w14:textId="77777777" w:rsidR="001A2204" w:rsidRPr="001A2204" w:rsidRDefault="001A2204" w:rsidP="001A2204">
      <w:pPr>
        <w:jc w:val="both"/>
        <w:rPr>
          <w:rFonts w:ascii="Helvetica" w:hAnsi="Helvetica"/>
          <w:i/>
          <w:sz w:val="20"/>
        </w:rPr>
      </w:pPr>
    </w:p>
    <w:p w14:paraId="35914552" w14:textId="40D834C9" w:rsidR="001A2204" w:rsidRPr="001A2204" w:rsidRDefault="001A2204" w:rsidP="001A2204">
      <w:pPr>
        <w:jc w:val="both"/>
        <w:rPr>
          <w:rFonts w:ascii="Helvetica" w:hAnsi="Helvetica"/>
          <w:b/>
          <w:sz w:val="20"/>
        </w:rPr>
      </w:pPr>
      <w:r w:rsidRPr="001A2204">
        <w:rPr>
          <w:rFonts w:ascii="Helvetica" w:hAnsi="Helvetica"/>
          <w:b/>
          <w:noProof/>
          <w:sz w:val="20"/>
          <w:lang w:eastAsia="cs-CZ"/>
        </w:rPr>
        <w:drawing>
          <wp:inline distT="0" distB="0" distL="0" distR="0" wp14:anchorId="0D3B1F12" wp14:editId="3023AC50">
            <wp:extent cx="5576738" cy="2880000"/>
            <wp:effectExtent l="0" t="0" r="508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3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D3D9F" w14:textId="77777777" w:rsidR="001A2204" w:rsidRPr="001A2204" w:rsidRDefault="001A2204" w:rsidP="001A2204">
      <w:pPr>
        <w:jc w:val="both"/>
        <w:rPr>
          <w:rFonts w:ascii="Helvetica" w:hAnsi="Helvetica"/>
          <w:b/>
        </w:rPr>
      </w:pPr>
      <w:r w:rsidRPr="001A2204">
        <w:rPr>
          <w:rFonts w:ascii="Helvetica" w:hAnsi="Helvetica"/>
          <w:i/>
        </w:rPr>
        <w:t>graf 5: výkon jednotlivých forem internetové reklamy v mil. Kč</w:t>
      </w:r>
    </w:p>
    <w:p w14:paraId="67596F92" w14:textId="77777777" w:rsidR="001A2204" w:rsidRPr="001A2204" w:rsidRDefault="001A2204" w:rsidP="001A2204">
      <w:pPr>
        <w:jc w:val="both"/>
        <w:rPr>
          <w:rFonts w:ascii="Helvetica" w:hAnsi="Helvetica"/>
          <w:b/>
          <w:bCs/>
          <w:sz w:val="20"/>
        </w:rPr>
      </w:pPr>
    </w:p>
    <w:tbl>
      <w:tblPr>
        <w:tblW w:w="980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29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E7C31" w:rsidRPr="001A2204" w14:paraId="715AF9C6" w14:textId="77777777" w:rsidTr="002E7C31">
        <w:trPr>
          <w:trHeight w:val="345"/>
        </w:trPr>
        <w:tc>
          <w:tcPr>
            <w:tcW w:w="1298" w:type="dxa"/>
            <w:shd w:val="clear" w:color="000000" w:fill="59C0F8"/>
            <w:vAlign w:val="center"/>
            <w:hideMark/>
          </w:tcPr>
          <w:p w14:paraId="6D1A13A5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Calibri"/>
                <w:b/>
                <w:color w:val="FFFFFF"/>
                <w:sz w:val="14"/>
                <w:szCs w:val="14"/>
                <w:lang w:bidi="he-IL"/>
              </w:rPr>
              <w:lastRenderedPageBreak/>
              <w:t>v tis. Kč</w:t>
            </w:r>
          </w:p>
        </w:tc>
        <w:tc>
          <w:tcPr>
            <w:tcW w:w="850" w:type="dxa"/>
            <w:shd w:val="clear" w:color="000000" w:fill="59C0F8"/>
            <w:vAlign w:val="center"/>
            <w:hideMark/>
          </w:tcPr>
          <w:p w14:paraId="1C709874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2012</w:t>
            </w:r>
          </w:p>
        </w:tc>
        <w:tc>
          <w:tcPr>
            <w:tcW w:w="851" w:type="dxa"/>
            <w:shd w:val="clear" w:color="000000" w:fill="59C0F8"/>
            <w:vAlign w:val="center"/>
            <w:hideMark/>
          </w:tcPr>
          <w:p w14:paraId="26956931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2013</w:t>
            </w:r>
          </w:p>
        </w:tc>
        <w:tc>
          <w:tcPr>
            <w:tcW w:w="850" w:type="dxa"/>
            <w:shd w:val="clear" w:color="000000" w:fill="59C0F8"/>
            <w:vAlign w:val="center"/>
            <w:hideMark/>
          </w:tcPr>
          <w:p w14:paraId="4CF1487A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2014</w:t>
            </w:r>
          </w:p>
        </w:tc>
        <w:tc>
          <w:tcPr>
            <w:tcW w:w="851" w:type="dxa"/>
            <w:shd w:val="clear" w:color="000000" w:fill="59C0F8"/>
            <w:vAlign w:val="center"/>
            <w:hideMark/>
          </w:tcPr>
          <w:p w14:paraId="5F765BB1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2015</w:t>
            </w:r>
          </w:p>
        </w:tc>
        <w:tc>
          <w:tcPr>
            <w:tcW w:w="850" w:type="dxa"/>
            <w:shd w:val="clear" w:color="000000" w:fill="59C0F8"/>
            <w:vAlign w:val="center"/>
            <w:hideMark/>
          </w:tcPr>
          <w:p w14:paraId="5AA87A4E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2016</w:t>
            </w:r>
          </w:p>
        </w:tc>
        <w:tc>
          <w:tcPr>
            <w:tcW w:w="851" w:type="dxa"/>
            <w:shd w:val="clear" w:color="000000" w:fill="59C0F8"/>
            <w:vAlign w:val="center"/>
            <w:hideMark/>
          </w:tcPr>
          <w:p w14:paraId="0C68D67C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2017</w:t>
            </w:r>
          </w:p>
        </w:tc>
        <w:tc>
          <w:tcPr>
            <w:tcW w:w="850" w:type="dxa"/>
            <w:shd w:val="clear" w:color="000000" w:fill="59C0F8"/>
            <w:vAlign w:val="center"/>
            <w:hideMark/>
          </w:tcPr>
          <w:p w14:paraId="2CF905DA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2018</w:t>
            </w:r>
          </w:p>
        </w:tc>
        <w:tc>
          <w:tcPr>
            <w:tcW w:w="851" w:type="dxa"/>
            <w:shd w:val="clear" w:color="000000" w:fill="59C0F8"/>
            <w:vAlign w:val="center"/>
            <w:hideMark/>
          </w:tcPr>
          <w:p w14:paraId="68623583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2019</w:t>
            </w:r>
          </w:p>
        </w:tc>
        <w:tc>
          <w:tcPr>
            <w:tcW w:w="850" w:type="dxa"/>
            <w:shd w:val="clear" w:color="000000" w:fill="59C0F8"/>
            <w:vAlign w:val="center"/>
            <w:hideMark/>
          </w:tcPr>
          <w:p w14:paraId="1AABE112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Arial"/>
                <w:b/>
                <w:color w:val="FFFFFF"/>
                <w:sz w:val="16"/>
                <w:szCs w:val="18"/>
              </w:rPr>
              <w:t>2020</w:t>
            </w:r>
          </w:p>
        </w:tc>
        <w:tc>
          <w:tcPr>
            <w:tcW w:w="851" w:type="dxa"/>
            <w:shd w:val="clear" w:color="000000" w:fill="59C0F8"/>
            <w:vAlign w:val="center"/>
            <w:hideMark/>
          </w:tcPr>
          <w:p w14:paraId="4EE63A64" w14:textId="77777777" w:rsidR="001A2204" w:rsidRPr="001A2204" w:rsidRDefault="001A2204" w:rsidP="002E7C31">
            <w:pPr>
              <w:jc w:val="center"/>
              <w:rPr>
                <w:rFonts w:ascii="Helvetica" w:hAnsi="Helvetica" w:cs="Calibri"/>
                <w:b/>
                <w:bCs/>
                <w:color w:val="FFFFFF"/>
                <w:sz w:val="16"/>
                <w:szCs w:val="16"/>
                <w:lang w:bidi="he-IL"/>
              </w:rPr>
            </w:pPr>
            <w:r w:rsidRPr="001A2204">
              <w:rPr>
                <w:rFonts w:ascii="Helvetica" w:hAnsi="Helvetica" w:cs="Calibri"/>
                <w:b/>
                <w:color w:val="FFFFFF"/>
                <w:sz w:val="16"/>
                <w:szCs w:val="16"/>
              </w:rPr>
              <w:t>2021* (odhad)</w:t>
            </w:r>
          </w:p>
        </w:tc>
      </w:tr>
      <w:tr w:rsidR="001A2204" w:rsidRPr="001A2204" w14:paraId="5C3F7CC5" w14:textId="77777777" w:rsidTr="002E7C31">
        <w:trPr>
          <w:trHeight w:val="300"/>
        </w:trPr>
        <w:tc>
          <w:tcPr>
            <w:tcW w:w="1298" w:type="dxa"/>
            <w:shd w:val="clear" w:color="auto" w:fill="auto"/>
            <w:vAlign w:val="center"/>
            <w:hideMark/>
          </w:tcPr>
          <w:p w14:paraId="4A2D0CE7" w14:textId="77777777" w:rsidR="001A2204" w:rsidRPr="001A2204" w:rsidRDefault="001A2204" w:rsidP="002C5C15">
            <w:pPr>
              <w:jc w:val="both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Calibri"/>
                <w:b/>
                <w:color w:val="000000"/>
                <w:sz w:val="14"/>
                <w:szCs w:val="14"/>
                <w:lang w:bidi="he-IL"/>
              </w:rPr>
              <w:t>Display 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54CA04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7 378 185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D6DBF5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9 204 844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C14468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9 967 379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6A341B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10 481 447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5DBFFA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14 164 675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9AE7A9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16 400 893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61264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20 139 248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EC518E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24 207 282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019C84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6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26 998 476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DE2508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6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28 869 710</w:t>
            </w:r>
          </w:p>
        </w:tc>
      </w:tr>
      <w:tr w:rsidR="001A2204" w:rsidRPr="001A2204" w14:paraId="2334508C" w14:textId="77777777" w:rsidTr="002E7C31">
        <w:trPr>
          <w:trHeight w:val="300"/>
        </w:trPr>
        <w:tc>
          <w:tcPr>
            <w:tcW w:w="1298" w:type="dxa"/>
            <w:shd w:val="clear" w:color="auto" w:fill="auto"/>
            <w:vAlign w:val="center"/>
            <w:hideMark/>
          </w:tcPr>
          <w:p w14:paraId="0AA27BBE" w14:textId="77777777" w:rsidR="001A2204" w:rsidRPr="001A2204" w:rsidRDefault="001A2204" w:rsidP="002C5C15">
            <w:pPr>
              <w:jc w:val="both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  <w:lang w:bidi="he-IL"/>
              </w:rPr>
            </w:pPr>
            <w:proofErr w:type="spellStart"/>
            <w:r w:rsidRPr="001A2204">
              <w:rPr>
                <w:rFonts w:ascii="Helvetica" w:hAnsi="Helvetica" w:cs="Calibri"/>
                <w:b/>
                <w:color w:val="000000"/>
                <w:sz w:val="14"/>
                <w:szCs w:val="14"/>
                <w:lang w:bidi="he-IL"/>
              </w:rPr>
              <w:t>Search</w:t>
            </w:r>
            <w:proofErr w:type="spellEnd"/>
            <w:r w:rsidRPr="001A2204">
              <w:rPr>
                <w:rFonts w:ascii="Helvetica" w:hAnsi="Helvetica" w:cs="Calibri"/>
                <w:b/>
                <w:color w:val="000000"/>
                <w:sz w:val="14"/>
                <w:szCs w:val="14"/>
                <w:lang w:bidi="he-IL"/>
              </w:rPr>
              <w:t xml:space="preserve"> 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1EA43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2 871 428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4D5B2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2 901 804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F6E0D6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3 360 886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1C3D0C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3 656 319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5EBDE5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4 663 124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7A713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5 857 274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C1562D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7 321 593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13C0C2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9 005 559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D6A619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6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11 273 892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AEDBD4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6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12 421 574</w:t>
            </w:r>
          </w:p>
        </w:tc>
      </w:tr>
      <w:tr w:rsidR="001A2204" w:rsidRPr="001A2204" w14:paraId="229A369A" w14:textId="77777777" w:rsidTr="002E7C31">
        <w:trPr>
          <w:trHeight w:val="504"/>
        </w:trPr>
        <w:tc>
          <w:tcPr>
            <w:tcW w:w="1298" w:type="dxa"/>
            <w:shd w:val="clear" w:color="auto" w:fill="auto"/>
            <w:vAlign w:val="center"/>
            <w:hideMark/>
          </w:tcPr>
          <w:p w14:paraId="2902E05B" w14:textId="77777777" w:rsidR="001A2204" w:rsidRPr="001A2204" w:rsidRDefault="001A2204" w:rsidP="002C5C15">
            <w:pPr>
              <w:jc w:val="both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Calibri"/>
                <w:b/>
                <w:color w:val="000000"/>
                <w:sz w:val="14"/>
                <w:szCs w:val="14"/>
                <w:lang w:bidi="he-IL"/>
              </w:rPr>
              <w:t>Katalogy a řádková inzerce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65C033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901 784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8B46C2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1 200 788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65F6A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1 256 196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271E4D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906 356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26409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899 652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84950C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1 052 715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56B6CB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1 124 984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AF3D86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1 152 238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D804DC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6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1 230 314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3F5B31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sz w:val="14"/>
                <w:szCs w:val="16"/>
              </w:rPr>
            </w:pPr>
            <w:r w:rsidRPr="001A2204">
              <w:rPr>
                <w:rFonts w:ascii="Helvetica" w:hAnsi="Helvetica" w:cs="Arial"/>
                <w:sz w:val="14"/>
                <w:szCs w:val="16"/>
              </w:rPr>
              <w:t>1 226 692</w:t>
            </w:r>
          </w:p>
        </w:tc>
      </w:tr>
      <w:tr w:rsidR="001A2204" w:rsidRPr="001A2204" w14:paraId="2285BD9E" w14:textId="77777777" w:rsidTr="002E7C31">
        <w:trPr>
          <w:trHeight w:val="300"/>
        </w:trPr>
        <w:tc>
          <w:tcPr>
            <w:tcW w:w="1298" w:type="dxa"/>
            <w:shd w:val="clear" w:color="auto" w:fill="auto"/>
            <w:vAlign w:val="center"/>
            <w:hideMark/>
          </w:tcPr>
          <w:p w14:paraId="112D7695" w14:textId="77777777" w:rsidR="001A2204" w:rsidRPr="001A2204" w:rsidRDefault="001A2204" w:rsidP="002C5C15">
            <w:pPr>
              <w:jc w:val="both"/>
              <w:rPr>
                <w:rFonts w:ascii="Helvetica" w:hAnsi="Helvetica" w:cs="Calibri"/>
                <w:b/>
                <w:bCs/>
                <w:color w:val="000000"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Calibri"/>
                <w:b/>
                <w:color w:val="000000"/>
                <w:sz w:val="14"/>
                <w:szCs w:val="14"/>
                <w:lang w:bidi="he-IL"/>
              </w:rPr>
              <w:t xml:space="preserve">CELKEM**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2AF44B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11 151 399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EAA3A2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13 307 435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945525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14 584 460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93375E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15 044 122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C00391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19 727 451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55932A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23 310 883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FB82A7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28 585 825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D03D0D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4"/>
                <w:lang w:bidi="he-IL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34 365 080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2E348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6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39 502 681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960689" w14:textId="77777777" w:rsidR="001A2204" w:rsidRPr="001A2204" w:rsidRDefault="001A2204" w:rsidP="002E7C31">
            <w:pPr>
              <w:jc w:val="right"/>
              <w:rPr>
                <w:rFonts w:ascii="Helvetica" w:hAnsi="Helvetica" w:cs="Calibri"/>
                <w:b/>
                <w:bCs/>
                <w:sz w:val="14"/>
                <w:szCs w:val="16"/>
              </w:rPr>
            </w:pPr>
            <w:r w:rsidRPr="001A2204">
              <w:rPr>
                <w:rFonts w:ascii="Helvetica" w:hAnsi="Helvetica" w:cs="Arial"/>
                <w:b/>
                <w:sz w:val="14"/>
                <w:szCs w:val="16"/>
              </w:rPr>
              <w:t>42 517 977</w:t>
            </w:r>
          </w:p>
        </w:tc>
      </w:tr>
    </w:tbl>
    <w:p w14:paraId="24B98059" w14:textId="3C7F1868" w:rsidR="004D1EE1" w:rsidRPr="004D1EE1" w:rsidRDefault="001A2204" w:rsidP="004D1EE1">
      <w:pPr>
        <w:rPr>
          <w:rFonts w:ascii="Helvetica" w:hAnsi="Helvetica"/>
          <w:i/>
          <w:iCs/>
        </w:rPr>
      </w:pPr>
      <w:r w:rsidRPr="001A2204">
        <w:rPr>
          <w:rFonts w:ascii="Helvetica" w:hAnsi="Helvetica"/>
          <w:i/>
          <w:iCs/>
        </w:rPr>
        <w:t>* odhad</w:t>
      </w:r>
      <w:r w:rsidRPr="001A2204">
        <w:rPr>
          <w:rFonts w:ascii="Helvetica" w:hAnsi="Helvetica"/>
          <w:i/>
          <w:iCs/>
        </w:rPr>
        <w:br/>
        <w:t>** do roku 2015 mix ceníkových a reálných cen, od roku 2016 ceníkové ceny</w:t>
      </w:r>
      <w:r w:rsidRPr="001A2204">
        <w:rPr>
          <w:rFonts w:ascii="Helvetica" w:hAnsi="Helvetica"/>
          <w:i/>
          <w:iCs/>
        </w:rPr>
        <w:br/>
        <w:t>*** reálné ceny (</w:t>
      </w:r>
      <w:proofErr w:type="spellStart"/>
      <w:r w:rsidRPr="001A2204">
        <w:rPr>
          <w:rFonts w:ascii="Helvetica" w:hAnsi="Helvetica"/>
          <w:i/>
          <w:iCs/>
        </w:rPr>
        <w:t>net</w:t>
      </w:r>
      <w:proofErr w:type="spellEnd"/>
      <w:r w:rsidRPr="001A2204">
        <w:rPr>
          <w:rFonts w:ascii="Helvetica" w:hAnsi="Helvetica"/>
          <w:i/>
          <w:iCs/>
        </w:rPr>
        <w:t xml:space="preserve"> </w:t>
      </w:r>
      <w:proofErr w:type="spellStart"/>
      <w:r w:rsidRPr="001A2204">
        <w:rPr>
          <w:rFonts w:ascii="Helvetica" w:hAnsi="Helvetica"/>
          <w:i/>
          <w:iCs/>
        </w:rPr>
        <w:t>net</w:t>
      </w:r>
      <w:proofErr w:type="spellEnd"/>
      <w:r w:rsidRPr="001A2204">
        <w:rPr>
          <w:rFonts w:ascii="Helvetica" w:hAnsi="Helvetica"/>
          <w:i/>
          <w:iCs/>
        </w:rPr>
        <w:t>)</w:t>
      </w:r>
      <w:r w:rsidRPr="001A2204">
        <w:rPr>
          <w:rFonts w:ascii="Helvetica" w:hAnsi="Helvetica"/>
          <w:i/>
          <w:iCs/>
        </w:rPr>
        <w:br/>
        <w:t>ostatní v ceníkových cenách (gross)</w:t>
      </w:r>
    </w:p>
    <w:p w14:paraId="56B72DD2" w14:textId="0399C09E" w:rsidR="001A2204" w:rsidRPr="004D1EE1" w:rsidRDefault="001A2204" w:rsidP="001A2204">
      <w:pPr>
        <w:jc w:val="both"/>
        <w:rPr>
          <w:rFonts w:ascii="Helvetica" w:hAnsi="Helvetica"/>
          <w:i/>
        </w:rPr>
      </w:pPr>
      <w:r w:rsidRPr="001A2204">
        <w:rPr>
          <w:rFonts w:ascii="Helvetica" w:hAnsi="Helvetica"/>
          <w:i/>
        </w:rPr>
        <w:t>tabulka 1: výkon jednotlivých forem internetové reklamy v letech 2012-2020 a 2021* v </w:t>
      </w:r>
      <w:r w:rsidRPr="001A2204">
        <w:rPr>
          <w:rFonts w:ascii="Helvetica" w:hAnsi="Helvetica"/>
          <w:b/>
          <w:i/>
        </w:rPr>
        <w:t>tis.</w:t>
      </w:r>
      <w:r w:rsidRPr="001A2204">
        <w:rPr>
          <w:rFonts w:ascii="Helvetica" w:hAnsi="Helvetica"/>
          <w:i/>
        </w:rPr>
        <w:t xml:space="preserve"> Kč </w:t>
      </w:r>
    </w:p>
    <w:p w14:paraId="4C65C85A" w14:textId="72D831A8" w:rsidR="001A2204" w:rsidRPr="001A2204" w:rsidRDefault="001A2204" w:rsidP="001A2204">
      <w:pPr>
        <w:pStyle w:val="Nadpis1"/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Podíl jednotlivých mediatypů v roce 2020</w:t>
      </w:r>
    </w:p>
    <w:p w14:paraId="32E39825" w14:textId="7A48790F" w:rsidR="001A2204" w:rsidRPr="004D1EE1" w:rsidRDefault="001A2204" w:rsidP="001A2204">
      <w:pPr>
        <w:jc w:val="both"/>
        <w:rPr>
          <w:rFonts w:ascii="Helvetica" w:hAnsi="Helvetica"/>
          <w:b/>
        </w:rPr>
      </w:pPr>
      <w:r w:rsidRPr="001A2204">
        <w:rPr>
          <w:rFonts w:ascii="Helvetica" w:hAnsi="Helvetica"/>
        </w:rPr>
        <w:t xml:space="preserve">Pro porovnání velikosti inzerce za celé </w:t>
      </w:r>
      <w:proofErr w:type="spellStart"/>
      <w:r w:rsidRPr="001A2204">
        <w:rPr>
          <w:rFonts w:ascii="Helvetica" w:hAnsi="Helvetica"/>
        </w:rPr>
        <w:t>mediatypy</w:t>
      </w:r>
      <w:proofErr w:type="spellEnd"/>
      <w:r w:rsidRPr="001A2204">
        <w:rPr>
          <w:rFonts w:ascii="Helvetica" w:hAnsi="Helvetica"/>
        </w:rPr>
        <w:t xml:space="preserve"> byly použity údaje z monitoringu reklamních investic </w:t>
      </w:r>
      <w:proofErr w:type="spellStart"/>
      <w:r w:rsidRPr="001A2204">
        <w:rPr>
          <w:rFonts w:ascii="Helvetica" w:hAnsi="Helvetica"/>
        </w:rPr>
        <w:t>Nielsen</w:t>
      </w:r>
      <w:proofErr w:type="spellEnd"/>
      <w:r w:rsidRPr="001A2204">
        <w:rPr>
          <w:rFonts w:ascii="Helvetica" w:hAnsi="Helvetica"/>
        </w:rPr>
        <w:t xml:space="preserve"> </w:t>
      </w:r>
      <w:proofErr w:type="spellStart"/>
      <w:r w:rsidRPr="001A2204">
        <w:rPr>
          <w:rFonts w:ascii="Helvetica" w:hAnsi="Helvetica"/>
        </w:rPr>
        <w:t>Admosphere</w:t>
      </w:r>
      <w:proofErr w:type="spellEnd"/>
      <w:r w:rsidRPr="001A2204">
        <w:rPr>
          <w:rFonts w:ascii="Helvetica" w:hAnsi="Helvetica"/>
        </w:rPr>
        <w:t xml:space="preserve">. </w:t>
      </w:r>
      <w:r w:rsidRPr="001A2204">
        <w:rPr>
          <w:rFonts w:ascii="Helvetica" w:hAnsi="Helvetica"/>
          <w:b/>
        </w:rPr>
        <w:t>Televize s 62,2 mld. Kč si udržuje dominantní postavení na reklamním trhu (podíl 47,6 %). Na online reklamu připadá 30,3% podíl (39,5 mld. Kč). Tisková inzerce dosáhla v loňském roce 17,2 mld. Kč a má 13,2% podíl na reklamních rozpočtech. Reklama v rádiu dosáhla výše 7,3 mld. Kč (5,6% podíl) a reklama mimo domov (OOH) utržila v loňském roce 4,4 mld. Kč (podíl 3,4 %).</w:t>
      </w:r>
    </w:p>
    <w:p w14:paraId="60508A66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Ceny neobsahují vlastní inzerci (</w:t>
      </w:r>
      <w:proofErr w:type="spellStart"/>
      <w:r w:rsidRPr="001A2204">
        <w:rPr>
          <w:rFonts w:ascii="Helvetica" w:hAnsi="Helvetica"/>
        </w:rPr>
        <w:t>selfpromo</w:t>
      </w:r>
      <w:proofErr w:type="spellEnd"/>
      <w:r w:rsidRPr="001A2204">
        <w:rPr>
          <w:rFonts w:ascii="Helvetica" w:hAnsi="Helvetica"/>
        </w:rPr>
        <w:t>).</w:t>
      </w:r>
    </w:p>
    <w:p w14:paraId="0CDA456C" w14:textId="77777777" w:rsidR="001A2204" w:rsidRPr="001A2204" w:rsidRDefault="001A2204" w:rsidP="001A2204">
      <w:pPr>
        <w:jc w:val="both"/>
        <w:rPr>
          <w:rFonts w:ascii="Helvetica" w:hAnsi="Helvetica"/>
        </w:rPr>
      </w:pPr>
    </w:p>
    <w:p w14:paraId="2CA5F5F6" w14:textId="4C280329" w:rsidR="001A2204" w:rsidRPr="001A2204" w:rsidRDefault="001A2204" w:rsidP="001A2204">
      <w:pPr>
        <w:jc w:val="both"/>
        <w:rPr>
          <w:rFonts w:ascii="Helvetica" w:hAnsi="Helvetica"/>
          <w:sz w:val="20"/>
        </w:rPr>
      </w:pPr>
      <w:r w:rsidRPr="001A2204">
        <w:rPr>
          <w:rFonts w:ascii="Helvetica" w:hAnsi="Helvetica"/>
          <w:noProof/>
          <w:sz w:val="20"/>
          <w:lang w:eastAsia="cs-CZ"/>
        </w:rPr>
        <w:drawing>
          <wp:inline distT="0" distB="0" distL="0" distR="0" wp14:anchorId="63964A6F" wp14:editId="17B26835">
            <wp:extent cx="4193551" cy="28800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5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99AE8" w14:textId="77777777" w:rsidR="001A2204" w:rsidRPr="001A2204" w:rsidRDefault="001A2204" w:rsidP="001A2204">
      <w:pPr>
        <w:jc w:val="both"/>
        <w:rPr>
          <w:rFonts w:ascii="Helvetica" w:hAnsi="Helvetica"/>
          <w:sz w:val="20"/>
        </w:rPr>
      </w:pPr>
    </w:p>
    <w:p w14:paraId="3818AD7E" w14:textId="1DF52D74" w:rsidR="001A2204" w:rsidRPr="001A2204" w:rsidRDefault="001A2204" w:rsidP="001A2204">
      <w:pPr>
        <w:jc w:val="both"/>
        <w:rPr>
          <w:rFonts w:ascii="Helvetica" w:hAnsi="Helvetica"/>
          <w:i/>
        </w:rPr>
      </w:pPr>
      <w:r w:rsidRPr="001A2204">
        <w:rPr>
          <w:rFonts w:ascii="Helvetica" w:hAnsi="Helvetica"/>
          <w:i/>
        </w:rPr>
        <w:t xml:space="preserve">graf </w:t>
      </w:r>
      <w:r w:rsidR="002E7C31">
        <w:rPr>
          <w:rFonts w:ascii="Helvetica" w:hAnsi="Helvetica"/>
          <w:i/>
        </w:rPr>
        <w:t>6</w:t>
      </w:r>
      <w:r w:rsidRPr="001A2204">
        <w:rPr>
          <w:rFonts w:ascii="Helvetica" w:hAnsi="Helvetica"/>
          <w:i/>
        </w:rPr>
        <w:t xml:space="preserve">: podíl jednotlivých </w:t>
      </w:r>
      <w:proofErr w:type="spellStart"/>
      <w:r w:rsidRPr="001A2204">
        <w:rPr>
          <w:rFonts w:ascii="Helvetica" w:hAnsi="Helvetica"/>
          <w:i/>
        </w:rPr>
        <w:t>mediatypů</w:t>
      </w:r>
      <w:proofErr w:type="spellEnd"/>
      <w:r w:rsidRPr="001A2204">
        <w:rPr>
          <w:rFonts w:ascii="Helvetica" w:hAnsi="Helvetica"/>
          <w:i/>
        </w:rPr>
        <w:t xml:space="preserve"> v roce 2020</w:t>
      </w:r>
    </w:p>
    <w:p w14:paraId="25C49451" w14:textId="77777777" w:rsidR="001A2204" w:rsidRPr="001A2204" w:rsidRDefault="001A2204" w:rsidP="001A2204">
      <w:pPr>
        <w:jc w:val="both"/>
        <w:rPr>
          <w:rFonts w:ascii="Helvetica" w:hAnsi="Helvetica"/>
          <w:i/>
        </w:rPr>
      </w:pPr>
    </w:p>
    <w:p w14:paraId="017A9D3A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lastRenderedPageBreak/>
        <w:t xml:space="preserve">Porovnání internetu s ostatními </w:t>
      </w:r>
      <w:proofErr w:type="spellStart"/>
      <w:r w:rsidRPr="001A2204">
        <w:rPr>
          <w:rFonts w:ascii="Helvetica" w:hAnsi="Helvetica"/>
        </w:rPr>
        <w:t>mediatypy</w:t>
      </w:r>
      <w:proofErr w:type="spellEnd"/>
      <w:r w:rsidRPr="001A2204">
        <w:rPr>
          <w:rFonts w:ascii="Helvetica" w:hAnsi="Helvetica"/>
        </w:rPr>
        <w:t xml:space="preserve"> je třeba nahlížet optikou trendu spíš než absolutního výkonu, protože porovnání cen není přesné. Výzkumy ostatních mediatypů pracují s ceníkovými cenami. Ty u většiny online reklamních forem neexistují. Pouze necelých 30 % uvedeného výkonu internetu je deklarováno v ceníkových cenách (direct display). Dalších 29 % je v nezměněných reálných </w:t>
      </w:r>
      <w:proofErr w:type="spellStart"/>
      <w:r w:rsidRPr="001A2204">
        <w:rPr>
          <w:rFonts w:ascii="Helvetica" w:hAnsi="Helvetica"/>
        </w:rPr>
        <w:t>net</w:t>
      </w:r>
      <w:proofErr w:type="spellEnd"/>
      <w:r w:rsidRPr="001A2204">
        <w:rPr>
          <w:rFonts w:ascii="Helvetica" w:hAnsi="Helvetica"/>
        </w:rPr>
        <w:t xml:space="preserve"> </w:t>
      </w:r>
      <w:proofErr w:type="spellStart"/>
      <w:r w:rsidRPr="001A2204">
        <w:rPr>
          <w:rFonts w:ascii="Helvetica" w:hAnsi="Helvetica"/>
        </w:rPr>
        <w:t>net</w:t>
      </w:r>
      <w:proofErr w:type="spellEnd"/>
      <w:r w:rsidRPr="001A2204">
        <w:rPr>
          <w:rFonts w:ascii="Helvetica" w:hAnsi="Helvetica"/>
        </w:rPr>
        <w:t xml:space="preserve"> cenách (</w:t>
      </w:r>
      <w:proofErr w:type="spellStart"/>
      <w:r w:rsidRPr="001A2204">
        <w:rPr>
          <w:rFonts w:ascii="Helvetica" w:hAnsi="Helvetica"/>
        </w:rPr>
        <w:t>search</w:t>
      </w:r>
      <w:proofErr w:type="spellEnd"/>
      <w:r w:rsidRPr="001A2204">
        <w:rPr>
          <w:rFonts w:ascii="Helvetica" w:hAnsi="Helvetica"/>
        </w:rPr>
        <w:t>) a teprve u zbytku (</w:t>
      </w:r>
      <w:proofErr w:type="spellStart"/>
      <w:r w:rsidRPr="001A2204">
        <w:rPr>
          <w:rFonts w:ascii="Helvetica" w:hAnsi="Helvetica"/>
        </w:rPr>
        <w:t>programmatic</w:t>
      </w:r>
      <w:proofErr w:type="spellEnd"/>
      <w:r w:rsidRPr="001A2204">
        <w:rPr>
          <w:rFonts w:ascii="Helvetica" w:hAnsi="Helvetica"/>
        </w:rPr>
        <w:t xml:space="preserve"> display) je použit dopočet v minimální výši +15 %. Internet jako takový postupně konverguje pouze k reálným cenám. Obzvláště v době </w:t>
      </w:r>
      <w:proofErr w:type="spellStart"/>
      <w:r w:rsidRPr="001A2204">
        <w:rPr>
          <w:rFonts w:ascii="Helvetica" w:hAnsi="Helvetica"/>
        </w:rPr>
        <w:t>covidové</w:t>
      </w:r>
      <w:proofErr w:type="spellEnd"/>
      <w:r w:rsidRPr="001A2204">
        <w:rPr>
          <w:rFonts w:ascii="Helvetica" w:hAnsi="Helvetica"/>
        </w:rPr>
        <w:t xml:space="preserve"> se u ostatních mediatypů rozdíl mezi ceníkovými a reálnými cenami zvětšuje, proto je vzájemné porovnání mediatypů čím dál tím méně vypovídající. </w:t>
      </w:r>
    </w:p>
    <w:p w14:paraId="57EE7D94" w14:textId="77777777" w:rsidR="001A2204" w:rsidRPr="001A2204" w:rsidRDefault="001A2204" w:rsidP="001A2204">
      <w:pPr>
        <w:jc w:val="both"/>
        <w:rPr>
          <w:rFonts w:ascii="Helvetica" w:hAnsi="Helvetica"/>
          <w:i/>
        </w:rPr>
      </w:pPr>
    </w:p>
    <w:p w14:paraId="735489DB" w14:textId="77777777" w:rsidR="001A2204" w:rsidRPr="001A2204" w:rsidRDefault="001A2204" w:rsidP="001A2204">
      <w:pPr>
        <w:jc w:val="both"/>
        <w:rPr>
          <w:rFonts w:ascii="Helvetica" w:hAnsi="Helvetica"/>
        </w:rPr>
      </w:pPr>
    </w:p>
    <w:p w14:paraId="0D397BDD" w14:textId="77777777" w:rsidR="001A2204" w:rsidRPr="001A2204" w:rsidRDefault="001A2204" w:rsidP="001A2204">
      <w:pPr>
        <w:shd w:val="clear" w:color="auto" w:fill="E0E0E0"/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 xml:space="preserve">Celou verzi inzertního výkonu internetové reklamy naleznete na webu </w:t>
      </w:r>
      <w:hyperlink r:id="rId13" w:history="1">
        <w:r w:rsidRPr="001A2204">
          <w:rPr>
            <w:rStyle w:val="Hypertextovodkaz"/>
            <w:rFonts w:ascii="Helvetica" w:eastAsiaTheme="majorEastAsia" w:hAnsi="Helvetica"/>
          </w:rPr>
          <w:t>http://www.inzertnivykony.cz/</w:t>
        </w:r>
      </w:hyperlink>
      <w:r w:rsidRPr="001A2204">
        <w:rPr>
          <w:rStyle w:val="Hypertextovodkaz"/>
          <w:rFonts w:ascii="Helvetica" w:eastAsiaTheme="majorEastAsia" w:hAnsi="Helvetica"/>
        </w:rPr>
        <w:t>.</w:t>
      </w:r>
    </w:p>
    <w:p w14:paraId="715196F0" w14:textId="77777777" w:rsidR="001A2204" w:rsidRPr="001A2204" w:rsidRDefault="001A2204" w:rsidP="001A2204">
      <w:pPr>
        <w:shd w:val="clear" w:color="auto" w:fill="E0E0E0"/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 xml:space="preserve">Používané typy internetové inzerce najdete na </w:t>
      </w:r>
      <w:hyperlink r:id="rId14" w:history="1">
        <w:r w:rsidRPr="001A2204">
          <w:rPr>
            <w:rStyle w:val="Hypertextovodkaz"/>
            <w:rFonts w:ascii="Helvetica" w:eastAsiaTheme="majorEastAsia" w:hAnsi="Helvetica"/>
          </w:rPr>
          <w:t>http://www.inzertnivykony.cz/terminologie-metodika</w:t>
        </w:r>
      </w:hyperlink>
      <w:r w:rsidRPr="001A2204">
        <w:rPr>
          <w:rFonts w:ascii="Helvetica" w:hAnsi="Helvetica"/>
        </w:rPr>
        <w:t>.</w:t>
      </w:r>
    </w:p>
    <w:p w14:paraId="6218643B" w14:textId="77777777" w:rsidR="001A2204" w:rsidRPr="001A2204" w:rsidRDefault="001A2204" w:rsidP="001A2204">
      <w:pPr>
        <w:shd w:val="clear" w:color="auto" w:fill="E0E0E0"/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 xml:space="preserve">Podrobnější popis reklamní formátů naleznete na </w:t>
      </w:r>
      <w:hyperlink r:id="rId15" w:history="1">
        <w:r w:rsidRPr="001A2204">
          <w:rPr>
            <w:rStyle w:val="Hypertextovodkaz"/>
            <w:rFonts w:ascii="Helvetica" w:eastAsiaTheme="majorEastAsia" w:hAnsi="Helvetica"/>
          </w:rPr>
          <w:t>http://www.spir.cz/reklamni-formaty-a-html-5</w:t>
        </w:r>
      </w:hyperlink>
      <w:r w:rsidRPr="001A2204">
        <w:rPr>
          <w:rFonts w:ascii="Helvetica" w:hAnsi="Helvetica"/>
        </w:rPr>
        <w:t>.</w:t>
      </w:r>
    </w:p>
    <w:p w14:paraId="5CCA0CC4" w14:textId="77777777" w:rsidR="001A2204" w:rsidRPr="001A2204" w:rsidRDefault="001A2204" w:rsidP="001A2204">
      <w:pPr>
        <w:jc w:val="both"/>
        <w:rPr>
          <w:rFonts w:ascii="Helvetica" w:hAnsi="Helvetica"/>
        </w:rPr>
      </w:pPr>
    </w:p>
    <w:p w14:paraId="4E58932B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Níže uvádíme výběr pojmů, u kterých dochází k terminologické nepřesnosti. Obsáhlejší verze je uvedena na odkazech výše.</w:t>
      </w:r>
    </w:p>
    <w:p w14:paraId="3712BBE7" w14:textId="77777777" w:rsidR="001A2204" w:rsidRPr="001A2204" w:rsidRDefault="001A2204" w:rsidP="001A2204">
      <w:pPr>
        <w:pStyle w:val="Nadpis1"/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Používané typy internetové inzerce</w:t>
      </w:r>
    </w:p>
    <w:p w14:paraId="64BF5A3E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b/>
        </w:rPr>
        <w:t>Celoplošná (display) reklama: </w:t>
      </w:r>
      <w:proofErr w:type="spellStart"/>
      <w:r w:rsidRPr="001A2204">
        <w:rPr>
          <w:rFonts w:ascii="Helvetica" w:hAnsi="Helvetica"/>
        </w:rPr>
        <w:t>Bannerová</w:t>
      </w:r>
      <w:proofErr w:type="spellEnd"/>
      <w:r w:rsidRPr="001A2204">
        <w:rPr>
          <w:rFonts w:ascii="Helvetica" w:hAnsi="Helvetica"/>
        </w:rPr>
        <w:t xml:space="preserve"> inzerce na stránkách vydavatelů ve standardních (bannery, </w:t>
      </w:r>
      <w:proofErr w:type="spellStart"/>
      <w:r w:rsidRPr="001A2204">
        <w:rPr>
          <w:rFonts w:ascii="Helvetica" w:hAnsi="Helvetica"/>
        </w:rPr>
        <w:t>skyscraper</w:t>
      </w:r>
      <w:proofErr w:type="spellEnd"/>
      <w:r w:rsidRPr="001A2204">
        <w:rPr>
          <w:rFonts w:ascii="Helvetica" w:hAnsi="Helvetica"/>
        </w:rPr>
        <w:t xml:space="preserve">, </w:t>
      </w:r>
      <w:proofErr w:type="spellStart"/>
      <w:r w:rsidRPr="001A2204">
        <w:rPr>
          <w:rFonts w:ascii="Helvetica" w:hAnsi="Helvetica"/>
        </w:rPr>
        <w:t>leaderboard</w:t>
      </w:r>
      <w:proofErr w:type="spellEnd"/>
      <w:r w:rsidRPr="001A2204">
        <w:rPr>
          <w:rFonts w:ascii="Helvetica" w:hAnsi="Helvetica"/>
        </w:rPr>
        <w:t xml:space="preserve"> …) i nestandardních formátech (rozšiřitelné a </w:t>
      </w:r>
      <w:proofErr w:type="spellStart"/>
      <w:r w:rsidRPr="001A2204">
        <w:rPr>
          <w:rFonts w:ascii="Helvetica" w:hAnsi="Helvetica"/>
        </w:rPr>
        <w:t>překrývací</w:t>
      </w:r>
      <w:proofErr w:type="spellEnd"/>
      <w:r w:rsidRPr="001A2204">
        <w:rPr>
          <w:rFonts w:ascii="Helvetica" w:hAnsi="Helvetica"/>
        </w:rPr>
        <w:t xml:space="preserve"> formáty). Patří sem i </w:t>
      </w:r>
      <w:proofErr w:type="spellStart"/>
      <w:r w:rsidRPr="001A2204">
        <w:rPr>
          <w:rFonts w:ascii="Helvetica" w:hAnsi="Helvetica"/>
        </w:rPr>
        <w:t>videobannery</w:t>
      </w:r>
      <w:proofErr w:type="spellEnd"/>
      <w:r w:rsidRPr="001A2204">
        <w:rPr>
          <w:rFonts w:ascii="Helvetica" w:hAnsi="Helvetica"/>
        </w:rPr>
        <w:t>. Do display reklamy jsou započítány i obsahové reklamní sítě a reklama skrze DSP/SSP systémy, kam patří RTB reklama.</w:t>
      </w:r>
    </w:p>
    <w:p w14:paraId="1BF5E7C0" w14:textId="77777777" w:rsidR="001A2204" w:rsidRPr="001A2204" w:rsidRDefault="001A2204" w:rsidP="001A2204">
      <w:pPr>
        <w:jc w:val="both"/>
        <w:rPr>
          <w:rFonts w:ascii="Helvetica" w:hAnsi="Helvetica"/>
        </w:rPr>
      </w:pPr>
      <w:proofErr w:type="spellStart"/>
      <w:r w:rsidRPr="001A2204">
        <w:rPr>
          <w:rFonts w:ascii="Helvetica" w:hAnsi="Helvetica"/>
          <w:b/>
        </w:rPr>
        <w:t>Search</w:t>
      </w:r>
      <w:proofErr w:type="spellEnd"/>
      <w:r w:rsidRPr="001A2204">
        <w:rPr>
          <w:rFonts w:ascii="Helvetica" w:hAnsi="Helvetica"/>
          <w:b/>
        </w:rPr>
        <w:t xml:space="preserve"> (reklama ve vyhledávání)</w:t>
      </w:r>
      <w:r w:rsidRPr="001A2204">
        <w:rPr>
          <w:rFonts w:ascii="Helvetica" w:hAnsi="Helvetica"/>
        </w:rPr>
        <w:t>: placené výsledky vyhledávání zobrazované ve vyhledávačích vedle výsledků organického vyhledávání nebo také na prémiových pozicích.</w:t>
      </w:r>
    </w:p>
    <w:p w14:paraId="43C86174" w14:textId="77777777" w:rsidR="001A2204" w:rsidRPr="001A2204" w:rsidRDefault="001A2204" w:rsidP="001A2204">
      <w:pPr>
        <w:jc w:val="both"/>
        <w:rPr>
          <w:rFonts w:ascii="Helvetica" w:hAnsi="Helvetica"/>
        </w:rPr>
      </w:pPr>
      <w:proofErr w:type="spellStart"/>
      <w:r w:rsidRPr="001A2204">
        <w:rPr>
          <w:rFonts w:ascii="Helvetica" w:hAnsi="Helvetica"/>
          <w:b/>
        </w:rPr>
        <w:t>Programmatic</w:t>
      </w:r>
      <w:proofErr w:type="spellEnd"/>
      <w:r w:rsidRPr="001A2204">
        <w:rPr>
          <w:rFonts w:ascii="Helvetica" w:hAnsi="Helvetica"/>
          <w:b/>
        </w:rPr>
        <w:t xml:space="preserve"> (programatická reklama):</w:t>
      </w:r>
      <w:r w:rsidRPr="001A2204">
        <w:rPr>
          <w:rFonts w:ascii="Helvetica" w:hAnsi="Helvetica"/>
        </w:rPr>
        <w:t xml:space="preserve"> automatizovaný proces nákupu a prodeje digitálního inzertního prostoru. Do display </w:t>
      </w:r>
      <w:proofErr w:type="spellStart"/>
      <w:r w:rsidRPr="001A2204">
        <w:rPr>
          <w:rFonts w:ascii="Helvetica" w:hAnsi="Helvetica"/>
        </w:rPr>
        <w:t>programmatic</w:t>
      </w:r>
      <w:proofErr w:type="spellEnd"/>
      <w:r w:rsidRPr="001A2204">
        <w:rPr>
          <w:rFonts w:ascii="Helvetica" w:hAnsi="Helvetica"/>
        </w:rPr>
        <w:t xml:space="preserve"> je započítávaná reklama v obsahových sítích a RTB způsobem obchodovaná reklama (DSP/SSP systémy).</w:t>
      </w:r>
    </w:p>
    <w:p w14:paraId="794F7B86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b/>
        </w:rPr>
        <w:t>Videoreklama</w:t>
      </w:r>
      <w:r w:rsidRPr="001A2204">
        <w:rPr>
          <w:rFonts w:ascii="Helvetica" w:hAnsi="Helvetica"/>
        </w:rPr>
        <w:t>: Zahrnuje reklamu v přehrávači (in-</w:t>
      </w:r>
      <w:proofErr w:type="spellStart"/>
      <w:r w:rsidRPr="001A2204">
        <w:rPr>
          <w:rFonts w:ascii="Helvetica" w:hAnsi="Helvetica"/>
        </w:rPr>
        <w:t>stream</w:t>
      </w:r>
      <w:proofErr w:type="spellEnd"/>
      <w:r w:rsidRPr="001A2204">
        <w:rPr>
          <w:rFonts w:ascii="Helvetica" w:hAnsi="Helvetica"/>
        </w:rPr>
        <w:t>) v podobě reklamních spotů před, po nebo během videa a reklamních sdělení publikovaných přes přehrávaný obsah (</w:t>
      </w:r>
      <w:proofErr w:type="spellStart"/>
      <w:r w:rsidRPr="001A2204">
        <w:rPr>
          <w:rFonts w:ascii="Helvetica" w:hAnsi="Helvetica"/>
        </w:rPr>
        <w:t>overlay</w:t>
      </w:r>
      <w:proofErr w:type="spellEnd"/>
      <w:r w:rsidRPr="001A2204">
        <w:rPr>
          <w:rFonts w:ascii="Helvetica" w:hAnsi="Helvetica"/>
        </w:rPr>
        <w:t>). Podíl videoreklamy lze určit ze všech složek display reklamy.</w:t>
      </w:r>
    </w:p>
    <w:p w14:paraId="7942C275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b/>
        </w:rPr>
        <w:t>Mobilní reklama</w:t>
      </w:r>
      <w:r w:rsidRPr="001A2204">
        <w:rPr>
          <w:rFonts w:ascii="Helvetica" w:hAnsi="Helvetica"/>
        </w:rPr>
        <w:t>: zahrnuje reklamu zobrazenou při prohlížení internetu z mobilních zařízení (mobilní telefony, tablety) a reklamu cílenou na mobilní zařízení ve vyhledávání a obsahových sítích. Podíl mobilní reklamy lze určit ze všech složek display reklamy.</w:t>
      </w:r>
    </w:p>
    <w:p w14:paraId="112AE93C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b/>
        </w:rPr>
        <w:t>RTB (</w:t>
      </w:r>
      <w:proofErr w:type="spellStart"/>
      <w:r w:rsidRPr="001A2204">
        <w:rPr>
          <w:rFonts w:ascii="Helvetica" w:hAnsi="Helvetica"/>
          <w:b/>
        </w:rPr>
        <w:t>real-time-bidding</w:t>
      </w:r>
      <w:proofErr w:type="spellEnd"/>
      <w:r w:rsidRPr="001A2204">
        <w:rPr>
          <w:rFonts w:ascii="Helvetica" w:hAnsi="Helvetica"/>
          <w:b/>
        </w:rPr>
        <w:t>)</w:t>
      </w:r>
      <w:r w:rsidRPr="001A2204">
        <w:rPr>
          <w:rFonts w:ascii="Helvetica" w:hAnsi="Helvetica"/>
        </w:rPr>
        <w:t xml:space="preserve"> je typ obchodního modelu prodeje reklamy cílené na požadované publikum, kdy každá imprese je dodávána v reálném čase automatickými systémy podle vhodnosti pro danou cílovou skupinu. V RTB modelu je často využíváno geografického, jazykového nebo behaviorálního cílení reklamy na základě předchozí aktivity a zájmu </w:t>
      </w:r>
      <w:r w:rsidRPr="001A2204">
        <w:rPr>
          <w:rFonts w:ascii="Helvetica" w:hAnsi="Helvetica"/>
        </w:rPr>
        <w:lastRenderedPageBreak/>
        <w:t>uživatelů. RTB model je charakteristický aukčním prodejem v reálných cenách inzerce. RTB způsobem obchodovaná reklama je započítána pod display reklamu.</w:t>
      </w:r>
    </w:p>
    <w:p w14:paraId="36425779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  <w:b/>
        </w:rPr>
        <w:t>Nativní reklama:</w:t>
      </w:r>
      <w:r w:rsidRPr="001A2204">
        <w:rPr>
          <w:rFonts w:ascii="Helvetica" w:hAnsi="Helvetica"/>
        </w:rPr>
        <w:t xml:space="preserve"> zahrnuje nativní formáty reklamy a reklamu založenou na obsahu. Podrobněji </w:t>
      </w:r>
      <w:hyperlink r:id="rId16" w:history="1">
        <w:r w:rsidRPr="001A2204">
          <w:rPr>
            <w:rStyle w:val="Hypertextovodkaz"/>
            <w:rFonts w:ascii="Helvetica" w:eastAsiaTheme="majorEastAsia" w:hAnsi="Helvetica"/>
          </w:rPr>
          <w:t>zde</w:t>
        </w:r>
      </w:hyperlink>
      <w:r w:rsidRPr="001A2204">
        <w:rPr>
          <w:rFonts w:ascii="Helvetica" w:hAnsi="Helvetica"/>
        </w:rPr>
        <w:t>.</w:t>
      </w:r>
    </w:p>
    <w:p w14:paraId="2A228B09" w14:textId="77777777" w:rsidR="001A2204" w:rsidRPr="001A2204" w:rsidRDefault="001A2204" w:rsidP="001A2204">
      <w:pPr>
        <w:pStyle w:val="Nadpis1"/>
        <w:jc w:val="both"/>
        <w:rPr>
          <w:rFonts w:ascii="Helvetica" w:hAnsi="Helvetica"/>
          <w:sz w:val="36"/>
          <w:szCs w:val="36"/>
        </w:rPr>
      </w:pPr>
      <w:r w:rsidRPr="001A2204">
        <w:rPr>
          <w:rFonts w:ascii="Helvetica" w:hAnsi="Helvetica"/>
        </w:rPr>
        <w:t>Popis metodiky</w:t>
      </w:r>
    </w:p>
    <w:p w14:paraId="0A3C9617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 xml:space="preserve">Dotazováním a zpracováním výsledků byla v zájmu objektivity a ochrany citlivých údajů pověřena agentura </w:t>
      </w:r>
      <w:proofErr w:type="spellStart"/>
      <w:r w:rsidRPr="001A2204">
        <w:rPr>
          <w:rFonts w:ascii="Helvetica" w:hAnsi="Helvetica"/>
        </w:rPr>
        <w:t>Median</w:t>
      </w:r>
      <w:proofErr w:type="spellEnd"/>
      <w:r w:rsidRPr="001A2204">
        <w:rPr>
          <w:rFonts w:ascii="Helvetica" w:hAnsi="Helvetica"/>
        </w:rPr>
        <w:t>. Šetření proběhlo během ledna a února 2021, opíralo se tak o aktuální celoroční uzávěrky jednotlivých subjektů. Výkony všech typů inzerce vznikly na základě deklarací jednotlivých poskytovatelů obsahu, agentur, přímých inzerentů, provozovatelů reklamních sítí.</w:t>
      </w:r>
    </w:p>
    <w:p w14:paraId="51569E36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Z oslovených 56 významných internetových provozovatelů se aktivně zapojilo 22, jejichž média zasahují drtivou většinu českých internetových uživatelů. Pro získání výkonů jednotlivých reklamních sítí byli osloveni 3 provozovatelé, 46 mediálních, digitálních a specializovaných agentur) a 163 přímých inzerentů. Aktivně se zapojil 1 provozovatel reklamní sítě (</w:t>
      </w:r>
      <w:proofErr w:type="spellStart"/>
      <w:r w:rsidRPr="001A2204">
        <w:rPr>
          <w:rFonts w:ascii="Helvetica" w:hAnsi="Helvetica"/>
        </w:rPr>
        <w:t>Sklik</w:t>
      </w:r>
      <w:proofErr w:type="spellEnd"/>
      <w:r w:rsidRPr="001A2204">
        <w:rPr>
          <w:rFonts w:ascii="Helvetica" w:hAnsi="Helvetica"/>
        </w:rPr>
        <w:t xml:space="preserve"> společnosti Seznam.cz), 19 agentur a 7 přímých inzerentů. K dopočtení celkové částky </w:t>
      </w:r>
      <w:proofErr w:type="spellStart"/>
      <w:r w:rsidRPr="001A2204">
        <w:rPr>
          <w:rFonts w:ascii="Helvetica" w:hAnsi="Helvetica"/>
        </w:rPr>
        <w:t>proinzerované</w:t>
      </w:r>
      <w:proofErr w:type="spellEnd"/>
      <w:r w:rsidRPr="001A2204">
        <w:rPr>
          <w:rFonts w:ascii="Helvetica" w:hAnsi="Helvetica"/>
        </w:rPr>
        <w:t xml:space="preserve"> v reklamních sítích se vychází z výkonu reklamní sítě </w:t>
      </w:r>
      <w:proofErr w:type="spellStart"/>
      <w:r w:rsidRPr="001A2204">
        <w:rPr>
          <w:rFonts w:ascii="Helvetica" w:hAnsi="Helvetica"/>
        </w:rPr>
        <w:t>Sklik</w:t>
      </w:r>
      <w:proofErr w:type="spellEnd"/>
      <w:r w:rsidRPr="001A2204">
        <w:rPr>
          <w:rFonts w:ascii="Helvetica" w:hAnsi="Helvetica"/>
        </w:rPr>
        <w:t xml:space="preserve"> a váženého procentuálního rozdělení investic agentur a přímých inzerentů do reklamních sítí. Rozdělení výkonu do reklamních sítí na reklamu ve vyhledávání (</w:t>
      </w:r>
      <w:proofErr w:type="spellStart"/>
      <w:r w:rsidRPr="001A2204">
        <w:rPr>
          <w:rFonts w:ascii="Helvetica" w:hAnsi="Helvetica"/>
        </w:rPr>
        <w:t>search</w:t>
      </w:r>
      <w:proofErr w:type="spellEnd"/>
      <w:r w:rsidRPr="001A2204">
        <w:rPr>
          <w:rFonts w:ascii="Helvetica" w:hAnsi="Helvetica"/>
        </w:rPr>
        <w:t>) a na reklamu v obsahových sítích (kontext) vychází z deklarací agentur a přímých inzerentů. Vzhledem k historické neúčasti provozovatelů DSP systémů nebyly DSP systémy letos dotazovány. Výkon programatické display reklamy skrze DSP/SSP systémy nelze tedy dopočítat na celý trh. Kvůli konzistentnosti dat byly provedeny následující korekce:</w:t>
      </w:r>
    </w:p>
    <w:p w14:paraId="03005DC1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-</w:t>
      </w:r>
      <w:r w:rsidRPr="001A2204">
        <w:rPr>
          <w:rFonts w:ascii="Helvetica" w:hAnsi="Helvetica"/>
        </w:rPr>
        <w:tab/>
        <w:t xml:space="preserve">Úprava rozdělení výkonů reklamních sítí na </w:t>
      </w:r>
      <w:proofErr w:type="spellStart"/>
      <w:r w:rsidRPr="001A2204">
        <w:rPr>
          <w:rFonts w:ascii="Helvetica" w:hAnsi="Helvetica"/>
        </w:rPr>
        <w:t>search</w:t>
      </w:r>
      <w:proofErr w:type="spellEnd"/>
      <w:r w:rsidRPr="001A2204">
        <w:rPr>
          <w:rFonts w:ascii="Helvetica" w:hAnsi="Helvetica"/>
        </w:rPr>
        <w:t xml:space="preserve"> a display reklamu: Výkon reklamy ve vyhledávání byl upraven na velikost z roku 2019 povýšený zjištěným trendem 2020/2019. Display část reklamních sítí vznikla dopočtem do nezměněného celku reklamních sítí.</w:t>
      </w:r>
    </w:p>
    <w:p w14:paraId="40196A50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-</w:t>
      </w:r>
      <w:r w:rsidRPr="001A2204">
        <w:rPr>
          <w:rFonts w:ascii="Helvetica" w:hAnsi="Helvetica"/>
        </w:rPr>
        <w:tab/>
        <w:t>Velikost reklamy skrze DSP/SSP systémy (RTB reklamy) byla určena velikostí z roku 2019 povýšená loňským odhadem trendu pro 2020/2019.</w:t>
      </w:r>
    </w:p>
    <w:p w14:paraId="2A10578F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-</w:t>
      </w:r>
      <w:r w:rsidRPr="001A2204">
        <w:rPr>
          <w:rFonts w:ascii="Helvetica" w:hAnsi="Helvetica"/>
        </w:rPr>
        <w:tab/>
        <w:t>Velikosti display video a nativní reklamy byly určeny velikostmi z roku 2019 povýšenými loňskými odhady trendu pro 2020/2019.</w:t>
      </w:r>
    </w:p>
    <w:p w14:paraId="4FFBC0EC" w14:textId="77777777" w:rsidR="001A2204" w:rsidRPr="001A2204" w:rsidRDefault="001A2204" w:rsidP="001A2204">
      <w:pPr>
        <w:jc w:val="both"/>
        <w:rPr>
          <w:rFonts w:ascii="Helvetica" w:hAnsi="Helvetica"/>
        </w:rPr>
      </w:pPr>
    </w:p>
    <w:p w14:paraId="0824EB84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V datech od roku 2016 je zahrnuta částečná korekce cen u forem internetové display reklamy, které jsou získávány v reálných (</w:t>
      </w:r>
      <w:proofErr w:type="spellStart"/>
      <w:r w:rsidRPr="001A2204">
        <w:rPr>
          <w:rFonts w:ascii="Helvetica" w:hAnsi="Helvetica"/>
        </w:rPr>
        <w:t>net</w:t>
      </w:r>
      <w:proofErr w:type="spellEnd"/>
      <w:r w:rsidRPr="001A2204">
        <w:rPr>
          <w:rFonts w:ascii="Helvetica" w:hAnsi="Helvetica"/>
        </w:rPr>
        <w:t xml:space="preserve"> </w:t>
      </w:r>
      <w:proofErr w:type="spellStart"/>
      <w:r w:rsidRPr="001A2204">
        <w:rPr>
          <w:rFonts w:ascii="Helvetica" w:hAnsi="Helvetica"/>
        </w:rPr>
        <w:t>net</w:t>
      </w:r>
      <w:proofErr w:type="spellEnd"/>
      <w:r w:rsidRPr="001A2204">
        <w:rPr>
          <w:rFonts w:ascii="Helvetica" w:hAnsi="Helvetica"/>
        </w:rPr>
        <w:t xml:space="preserve">) cenách, a u kterých ceníkové ceny neexistují. Z důvodů lepší porovnatelnosti s objemem ostatní inzerce uváděné v ceníkových cenách a i s ostatními </w:t>
      </w:r>
      <w:proofErr w:type="spellStart"/>
      <w:r w:rsidRPr="001A2204">
        <w:rPr>
          <w:rFonts w:ascii="Helvetica" w:hAnsi="Helvetica"/>
        </w:rPr>
        <w:t>mediatypy</w:t>
      </w:r>
      <w:proofErr w:type="spellEnd"/>
      <w:r w:rsidRPr="001A2204">
        <w:rPr>
          <w:rFonts w:ascii="Helvetica" w:hAnsi="Helvetica"/>
        </w:rPr>
        <w:t xml:space="preserve">, došlo u těchto display programaticky obchodovaných forem inzerce (reklamní obsahové sítě a RTB způsob obchodování skrze DSP/SSP systémy) k navýšení ceny o 15 %. Rozdíl mezi ceníkovou a reálnou cenou je bezpochyby větší, ale z důvodu chybějící opory byla zvolena tato minimální hodnota. </w:t>
      </w:r>
    </w:p>
    <w:p w14:paraId="0B6BC8E6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t>Reklama ve vyhledávání zůstává v reálných cenách, neřadíme ji pod display reklamu, proto dopočet zde není opodstatněný. U ostatních mediatypů jsou objemy inzerce udávány pouze v ceníkových cenách, odhady reálných cen nejsou k dispozici.</w:t>
      </w:r>
    </w:p>
    <w:p w14:paraId="4106DDE5" w14:textId="77777777" w:rsidR="001A2204" w:rsidRPr="001A2204" w:rsidRDefault="001A2204" w:rsidP="001A2204">
      <w:pPr>
        <w:jc w:val="both"/>
        <w:rPr>
          <w:rFonts w:ascii="Helvetica" w:hAnsi="Helvetica"/>
        </w:rPr>
      </w:pPr>
    </w:p>
    <w:p w14:paraId="3F7B78D4" w14:textId="77777777" w:rsidR="001A2204" w:rsidRPr="001A2204" w:rsidRDefault="001A2204" w:rsidP="001A2204">
      <w:pPr>
        <w:jc w:val="both"/>
        <w:rPr>
          <w:rFonts w:ascii="Helvetica" w:hAnsi="Helvetica"/>
        </w:rPr>
      </w:pPr>
      <w:r w:rsidRPr="001A2204">
        <w:rPr>
          <w:rFonts w:ascii="Helvetica" w:hAnsi="Helvetica"/>
        </w:rPr>
        <w:lastRenderedPageBreak/>
        <w:t>Popis forem internetové display reklamy naleznete </w:t>
      </w:r>
      <w:hyperlink r:id="rId17" w:tgtFrame="_blank" w:history="1">
        <w:r w:rsidRPr="001A2204">
          <w:rPr>
            <w:rStyle w:val="Hypertextovodkaz"/>
            <w:rFonts w:ascii="Helvetica" w:eastAsiaTheme="majorEastAsia" w:hAnsi="Helvetica"/>
          </w:rPr>
          <w:t>zde</w:t>
        </w:r>
      </w:hyperlink>
      <w:r w:rsidRPr="001A2204">
        <w:rPr>
          <w:rFonts w:ascii="Helvetica" w:hAnsi="Helvetica"/>
        </w:rPr>
        <w:t>.</w:t>
      </w:r>
    </w:p>
    <w:p w14:paraId="7ED7204C" w14:textId="77777777" w:rsidR="001A2204" w:rsidRPr="001A2204" w:rsidRDefault="001A2204" w:rsidP="001A2204">
      <w:pPr>
        <w:jc w:val="both"/>
        <w:rPr>
          <w:rFonts w:ascii="Helvetica" w:hAnsi="Helvetica"/>
          <w:sz w:val="20"/>
        </w:rPr>
      </w:pPr>
    </w:p>
    <w:p w14:paraId="1DFF0829" w14:textId="495934F3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  <w:b/>
        </w:rPr>
      </w:pPr>
      <w:r w:rsidRPr="001A2204">
        <w:rPr>
          <w:rFonts w:ascii="Helvetica" w:hAnsi="Helvetica" w:cs="Arial"/>
          <w:b/>
        </w:rPr>
        <w:t xml:space="preserve">Pro další informace kontaktujte: </w:t>
      </w:r>
    </w:p>
    <w:p w14:paraId="5BE8CCCF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</w:rPr>
      </w:pPr>
    </w:p>
    <w:p w14:paraId="0D05F8B8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  <w:b/>
        </w:rPr>
        <w:t xml:space="preserve">Petr Kolář </w:t>
      </w:r>
      <w:r w:rsidRPr="001A2204">
        <w:rPr>
          <w:rFonts w:ascii="Helvetica" w:hAnsi="Helvetica" w:cs="Arial"/>
        </w:rPr>
        <w:t>– technické dotazy</w:t>
      </w:r>
    </w:p>
    <w:p w14:paraId="39236451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  <w:bCs/>
        </w:rPr>
      </w:pPr>
      <w:r w:rsidRPr="001A2204">
        <w:rPr>
          <w:rFonts w:ascii="Helvetica" w:hAnsi="Helvetica" w:cs="Arial"/>
        </w:rPr>
        <w:t>Analytik</w:t>
      </w:r>
    </w:p>
    <w:p w14:paraId="1DCC371E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  <w:bCs/>
        </w:rPr>
      </w:pPr>
      <w:r w:rsidRPr="001A2204">
        <w:rPr>
          <w:rFonts w:ascii="Helvetica" w:hAnsi="Helvetica" w:cs="Arial"/>
        </w:rPr>
        <w:t>mobil: 603 749 847</w:t>
      </w:r>
    </w:p>
    <w:p w14:paraId="3E6B3C83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  <w:bCs/>
        </w:rPr>
      </w:pPr>
      <w:r w:rsidRPr="001A2204">
        <w:rPr>
          <w:rFonts w:ascii="Helvetica" w:hAnsi="Helvetica" w:cs="Arial"/>
        </w:rPr>
        <w:t xml:space="preserve">e-mail: </w:t>
      </w:r>
      <w:hyperlink r:id="rId18" w:history="1">
        <w:r w:rsidRPr="001A2204">
          <w:rPr>
            <w:rStyle w:val="Hypertextovodkaz"/>
            <w:rFonts w:ascii="Helvetica" w:hAnsi="Helvetica" w:cs="Arial"/>
          </w:rPr>
          <w:t>petr.kolar@spir.cz</w:t>
        </w:r>
      </w:hyperlink>
    </w:p>
    <w:p w14:paraId="32FD336D" w14:textId="77777777" w:rsidR="001A2204" w:rsidRPr="001A2204" w:rsidRDefault="001A2204" w:rsidP="004D1EE1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Arial"/>
          <w:b/>
        </w:rPr>
      </w:pPr>
    </w:p>
    <w:p w14:paraId="36AA9B2A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  <w:b/>
        </w:rPr>
        <w:t>Peter Kokavec</w:t>
      </w:r>
      <w:r w:rsidRPr="001A2204">
        <w:rPr>
          <w:rFonts w:ascii="Helvetica" w:hAnsi="Helvetica" w:cs="Arial"/>
        </w:rPr>
        <w:t xml:space="preserve"> – technické dotazy</w:t>
      </w:r>
    </w:p>
    <w:p w14:paraId="4A0F676F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</w:rPr>
        <w:t>Koordinátor výzkumných projektů SPIR</w:t>
      </w:r>
    </w:p>
    <w:p w14:paraId="4BFFEA9C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</w:rPr>
        <w:t>mobil: 775 200 949</w:t>
      </w:r>
    </w:p>
    <w:p w14:paraId="33D841FB" w14:textId="77777777" w:rsidR="001A2204" w:rsidRPr="001A2204" w:rsidRDefault="001A2204" w:rsidP="004D1EE1">
      <w:pPr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</w:rPr>
        <w:t xml:space="preserve">e-mail: </w:t>
      </w:r>
      <w:hyperlink r:id="rId19" w:history="1">
        <w:r w:rsidRPr="001A2204">
          <w:rPr>
            <w:rStyle w:val="Hypertextovodkaz"/>
            <w:rFonts w:ascii="Helvetica" w:hAnsi="Helvetica"/>
          </w:rPr>
          <w:t>peter.kokavec@spir.cz</w:t>
        </w:r>
      </w:hyperlink>
      <w:r w:rsidRPr="001A2204">
        <w:rPr>
          <w:rFonts w:ascii="Helvetica" w:hAnsi="Helvetica"/>
        </w:rPr>
        <w:t xml:space="preserve"> </w:t>
      </w:r>
    </w:p>
    <w:p w14:paraId="0A6815D3" w14:textId="77777777" w:rsidR="001A2204" w:rsidRPr="001A2204" w:rsidRDefault="001A2204" w:rsidP="004D1EE1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Arial"/>
          <w:b/>
        </w:rPr>
      </w:pPr>
    </w:p>
    <w:p w14:paraId="5619F8BF" w14:textId="77777777" w:rsidR="001A2204" w:rsidRPr="001A2204" w:rsidRDefault="001A2204" w:rsidP="004D1EE1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  <w:b/>
        </w:rPr>
        <w:t>Tereza Tůmová</w:t>
      </w:r>
      <w:r w:rsidRPr="001A2204">
        <w:rPr>
          <w:rFonts w:ascii="Helvetica" w:hAnsi="Helvetica" w:cs="Arial"/>
        </w:rPr>
        <w:t xml:space="preserve"> – ostatní dotazy</w:t>
      </w:r>
    </w:p>
    <w:p w14:paraId="3D68A0F6" w14:textId="77777777" w:rsidR="001A2204" w:rsidRPr="001A2204" w:rsidRDefault="001A2204" w:rsidP="004D1EE1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</w:rPr>
        <w:t>PR manažerka</w:t>
      </w:r>
    </w:p>
    <w:p w14:paraId="71F3D495" w14:textId="77777777" w:rsidR="001A2204" w:rsidRPr="001A2204" w:rsidRDefault="001A2204" w:rsidP="004D1EE1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</w:rPr>
        <w:t>mobil: 739 465 233</w:t>
      </w:r>
    </w:p>
    <w:p w14:paraId="49EFA268" w14:textId="4698BC1C" w:rsidR="000C4EBF" w:rsidRDefault="001A2204" w:rsidP="004D1EE1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 w:cs="Arial"/>
        </w:rPr>
      </w:pPr>
      <w:r w:rsidRPr="001A2204">
        <w:rPr>
          <w:rFonts w:ascii="Helvetica" w:hAnsi="Helvetica" w:cs="Arial"/>
        </w:rPr>
        <w:t xml:space="preserve">e-mail: </w:t>
      </w:r>
      <w:hyperlink r:id="rId20" w:history="1">
        <w:r w:rsidR="002E7C31" w:rsidRPr="004816BD">
          <w:rPr>
            <w:rStyle w:val="Hypertextovodkaz"/>
            <w:rFonts w:ascii="Helvetica" w:hAnsi="Helvetica" w:cs="Arial"/>
          </w:rPr>
          <w:t>tereza.tumova@spir.cz</w:t>
        </w:r>
      </w:hyperlink>
    </w:p>
    <w:p w14:paraId="6323F6FE" w14:textId="77777777" w:rsidR="002E7C31" w:rsidRPr="001A2204" w:rsidRDefault="002E7C31" w:rsidP="004D1EE1">
      <w:pPr>
        <w:autoSpaceDE w:val="0"/>
        <w:autoSpaceDN w:val="0"/>
        <w:adjustRightInd w:val="0"/>
        <w:spacing w:line="240" w:lineRule="auto"/>
        <w:jc w:val="both"/>
        <w:rPr>
          <w:rFonts w:ascii="Helvetica" w:hAnsi="Helvetica"/>
        </w:rPr>
      </w:pPr>
      <w:bookmarkStart w:id="0" w:name="_GoBack"/>
      <w:bookmarkEnd w:id="0"/>
    </w:p>
    <w:sectPr w:rsidR="002E7C31" w:rsidRPr="001A2204" w:rsidSect="007C2A51">
      <w:headerReference w:type="default" r:id="rId21"/>
      <w:footerReference w:type="even" r:id="rId22"/>
      <w:footerReference w:type="default" r:id="rId2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591CB" w14:textId="77777777" w:rsidR="00375179" w:rsidRDefault="00375179" w:rsidP="00B03A0D">
      <w:pPr>
        <w:spacing w:after="0" w:line="240" w:lineRule="auto"/>
      </w:pPr>
      <w:r>
        <w:separator/>
      </w:r>
    </w:p>
  </w:endnote>
  <w:endnote w:type="continuationSeparator" w:id="0">
    <w:p w14:paraId="7D10C00C" w14:textId="77777777" w:rsidR="00375179" w:rsidRDefault="00375179" w:rsidP="00B0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028486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419E7AA" w14:textId="633BAAB3" w:rsidR="00FC3656" w:rsidRDefault="00FC3656" w:rsidP="00DE378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3C19264" w14:textId="77777777" w:rsidR="00FC3656" w:rsidRDefault="00FC3656" w:rsidP="00FC36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67324501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A1C3377" w14:textId="2DA1E18E" w:rsidR="00FC3656" w:rsidRDefault="00FC3656" w:rsidP="00DE378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E7C31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702E08D9" w14:textId="77777777" w:rsidR="000C4EBF" w:rsidRDefault="000C4EBF" w:rsidP="00FC3656">
    <w:pPr>
      <w:pStyle w:val="Zpat"/>
      <w:ind w:right="360"/>
    </w:pPr>
  </w:p>
  <w:p w14:paraId="31165057" w14:textId="77777777" w:rsidR="00B03A0D" w:rsidRDefault="00953F4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F30533" wp14:editId="0B1B5EF4">
              <wp:simplePos x="0" y="0"/>
              <wp:positionH relativeFrom="column">
                <wp:posOffset>3175</wp:posOffset>
              </wp:positionH>
              <wp:positionV relativeFrom="paragraph">
                <wp:posOffset>79375</wp:posOffset>
              </wp:positionV>
              <wp:extent cx="6673850" cy="40005"/>
              <wp:effectExtent l="0" t="0" r="6350" b="10795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3850" cy="400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46D7DC1" id="Přímá spojnic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6.25pt" to="52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" strokecolor="#5b9bd5" strokeweight=".5pt">
              <v:stroke joinstyle="miter"/>
              <o:lock v:ext="edit" shapetype="f"/>
            </v:line>
          </w:pict>
        </mc:Fallback>
      </mc:AlternateContent>
    </w:r>
  </w:p>
  <w:p w14:paraId="4014D579" w14:textId="77777777" w:rsidR="006700E9" w:rsidRDefault="003116BA">
    <w:pPr>
      <w:pStyle w:val="Zpat"/>
    </w:pPr>
    <w:r>
      <w:rPr>
        <w:noProof/>
        <w:lang w:eastAsia="cs-CZ"/>
      </w:rPr>
      <w:drawing>
        <wp:inline distT="0" distB="0" distL="0" distR="0" wp14:anchorId="34167FEC" wp14:editId="5E364CEF">
          <wp:extent cx="4864100" cy="3302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ticka_hlav_pap_leden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4BE0C" w14:textId="77777777" w:rsidR="00375179" w:rsidRDefault="00375179" w:rsidP="00B03A0D">
      <w:pPr>
        <w:spacing w:after="0" w:line="240" w:lineRule="auto"/>
      </w:pPr>
      <w:r>
        <w:separator/>
      </w:r>
    </w:p>
  </w:footnote>
  <w:footnote w:type="continuationSeparator" w:id="0">
    <w:p w14:paraId="50F81BA4" w14:textId="77777777" w:rsidR="00375179" w:rsidRDefault="00375179" w:rsidP="00B03A0D">
      <w:pPr>
        <w:spacing w:after="0" w:line="240" w:lineRule="auto"/>
      </w:pPr>
      <w:r>
        <w:continuationSeparator/>
      </w:r>
    </w:p>
  </w:footnote>
  <w:footnote w:id="1">
    <w:p w14:paraId="3254719A" w14:textId="6A8CC872" w:rsidR="001A2204" w:rsidRDefault="001A2204" w:rsidP="001A22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A6DC2">
        <w:rPr>
          <w:sz w:val="18"/>
        </w:rPr>
        <w:t>V ceníkových cenách.</w:t>
      </w:r>
      <w:r>
        <w:rPr>
          <w:sz w:val="18"/>
        </w:rPr>
        <w:t xml:space="preserve"> Více viz metodiku na konci tiskové zprávy.</w:t>
      </w:r>
      <w:r w:rsidR="00926125" w:rsidRPr="00926125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64FCC" w14:textId="7EF98FC3" w:rsidR="00B03A0D" w:rsidRDefault="00953F41">
    <w:pPr>
      <w:pStyle w:val="Zhlav"/>
      <w:rPr>
        <w:noProof/>
        <w:lang w:eastAsia="cs-CZ"/>
      </w:rPr>
    </w:pPr>
    <w:r w:rsidRPr="009F2F6F">
      <w:rPr>
        <w:noProof/>
        <w:lang w:eastAsia="cs-CZ"/>
      </w:rPr>
      <w:drawing>
        <wp:inline distT="0" distB="0" distL="0" distR="0" wp14:anchorId="4C7FBBCB" wp14:editId="5B54490A">
          <wp:extent cx="1316355" cy="505460"/>
          <wp:effectExtent l="0" t="0" r="0" b="0"/>
          <wp:docPr id="21" name="Obrázek 21" descr="G:\Rozpracovane\2678 SPIR CI\01_Data\hlavickovy papir\spir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G:\Rozpracovane\2678 SPIR CI\01_Data\hlavickovy papir\spir-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013DC" w14:textId="77777777" w:rsidR="000C4EBF" w:rsidRDefault="000C4E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04"/>
    <w:rsid w:val="0000500F"/>
    <w:rsid w:val="00020744"/>
    <w:rsid w:val="000C4EBF"/>
    <w:rsid w:val="00121DB3"/>
    <w:rsid w:val="001A2204"/>
    <w:rsid w:val="002122EC"/>
    <w:rsid w:val="002E7C31"/>
    <w:rsid w:val="00302501"/>
    <w:rsid w:val="003116BA"/>
    <w:rsid w:val="00342274"/>
    <w:rsid w:val="00375179"/>
    <w:rsid w:val="003E69B4"/>
    <w:rsid w:val="00423079"/>
    <w:rsid w:val="0048666F"/>
    <w:rsid w:val="004D1EE1"/>
    <w:rsid w:val="00524F1A"/>
    <w:rsid w:val="006700E9"/>
    <w:rsid w:val="007C2A51"/>
    <w:rsid w:val="00862C36"/>
    <w:rsid w:val="00926125"/>
    <w:rsid w:val="00953F41"/>
    <w:rsid w:val="00B03A0D"/>
    <w:rsid w:val="00E92A88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FDE930"/>
  <w15:chartTrackingRefBased/>
  <w15:docId w15:val="{345B5002-F874-3D46-B7DF-2D85494F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A2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A0D"/>
  </w:style>
  <w:style w:type="paragraph" w:styleId="Zpat">
    <w:name w:val="footer"/>
    <w:basedOn w:val="Normln"/>
    <w:link w:val="ZpatChar"/>
    <w:uiPriority w:val="99"/>
    <w:unhideWhenUsed/>
    <w:rsid w:val="00B0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A0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2204"/>
    <w:pPr>
      <w:spacing w:after="0" w:line="240" w:lineRule="auto"/>
    </w:pPr>
    <w:rPr>
      <w:rFonts w:ascii="Helvetica" w:eastAsia="Times New Roman" w:hAnsi="Helvetica"/>
      <w:bCs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2204"/>
    <w:rPr>
      <w:rFonts w:ascii="Helvetica" w:eastAsia="Times New Roman" w:hAnsi="Helvetica"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1A2204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1A22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ypertextovodkaz">
    <w:name w:val="Hyperlink"/>
    <w:rsid w:val="001A2204"/>
    <w:rPr>
      <w:color w:val="0000FF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A2204"/>
  </w:style>
  <w:style w:type="paragraph" w:styleId="Revize">
    <w:name w:val="Revision"/>
    <w:hidden/>
    <w:uiPriority w:val="99"/>
    <w:semiHidden/>
    <w:rsid w:val="001A22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zertnivykony.cz/" TargetMode="External"/><Relationship Id="rId18" Type="http://schemas.openxmlformats.org/officeDocument/2006/relationships/hyperlink" Target="mailto:petr.kolar@spir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spir.cz/reklamni-formaty-a-html-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pir.cz/sites/default/files/prilohy/Definice_nativni_reklamy.pdf" TargetMode="External"/><Relationship Id="rId20" Type="http://schemas.openxmlformats.org/officeDocument/2006/relationships/hyperlink" Target="mailto:tereza.tumova@spir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pir.cz/reklamni-formaty-a-html-5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hyperlink" Target="mailto:peter.kokavec@spi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nzertnivykony.cz/terminologie-metodika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8748C-0430-4476-B1C3-B82B1D3F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1788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Tumova</dc:creator>
  <cp:keywords/>
  <dc:description/>
  <cp:lastModifiedBy>Petr Kolář</cp:lastModifiedBy>
  <cp:revision>6</cp:revision>
  <cp:lastPrinted>2021-03-11T08:06:00Z</cp:lastPrinted>
  <dcterms:created xsi:type="dcterms:W3CDTF">2021-03-10T11:51:00Z</dcterms:created>
  <dcterms:modified xsi:type="dcterms:W3CDTF">2021-03-14T21:02:00Z</dcterms:modified>
</cp:coreProperties>
</file>